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rFonts w:cs="Times New Roman" w:ascii="Times New Roman" w:hAnsi="Times New Roman"/>
          <w:b/>
          <w:sz w:val="28"/>
          <w:szCs w:val="28"/>
        </w:rPr>
        <w:t xml:space="preserve">         </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drawing>
          <wp:anchor behindDoc="0" distT="0" distB="101600" distL="0" distR="0" simplePos="0" locked="0" layoutInCell="1" allowOverlap="1" relativeHeight="2">
            <wp:simplePos x="0" y="0"/>
            <wp:positionH relativeFrom="column">
              <wp:posOffset>4051300</wp:posOffset>
            </wp:positionH>
            <wp:positionV relativeFrom="paragraph">
              <wp:posOffset>-73025</wp:posOffset>
            </wp:positionV>
            <wp:extent cx="1437005" cy="9975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437005" cy="997585"/>
                    </a:xfrm>
                    <a:prstGeom prst="rect">
                      <a:avLst/>
                    </a:prstGeom>
                    <a:noFill/>
                    <a:ln w="9525">
                      <a:noFill/>
                      <a:miter lim="800000"/>
                      <a:headEnd/>
                      <a:tailEnd/>
                    </a:ln>
                  </pic:spPr>
                </pic:pic>
              </a:graphicData>
            </a:graphic>
          </wp:anchor>
        </w:drawing>
      </w:r>
    </w:p>
    <w:p>
      <w:pPr>
        <w:pStyle w:val="Normal"/>
        <w:spacing w:lineRule="auto" w:line="240"/>
        <w:rPr/>
      </w:pPr>
      <w:r>
        <w:rPr>
          <w:rFonts w:cs="Times New Roman" w:ascii="Times New Roman" w:hAnsi="Times New Roman"/>
          <w:b/>
          <w:sz w:val="28"/>
          <w:szCs w:val="28"/>
        </w:rPr>
        <w:t xml:space="preserve">     </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ab/>
        <w:t>Стягнення пені за прострочення сплати аліментів.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Аліменти - це кошти, які закон зобов'язує виплачувати одного з подружжя на утримання дитини або другого з подружжя.</w:t>
      </w:r>
    </w:p>
    <w:p>
      <w:pPr>
        <w:pStyle w:val="Normal"/>
        <w:spacing w:lineRule="auto" w:line="240" w:before="0" w:after="0"/>
        <w:ind w:firstLine="709"/>
        <w:jc w:val="both"/>
        <w:rPr/>
      </w:pPr>
      <w:r>
        <w:rPr>
          <w:rFonts w:cs="Times New Roman" w:ascii="Times New Roman" w:hAnsi="Times New Roman"/>
          <w:sz w:val="28"/>
          <w:szCs w:val="28"/>
        </w:rPr>
        <w:t>Однак, нерідко, особа яка повинна сплачувати аліменти ухиляється від їх сплати. В таких випадках утворюється заборгованість з виплати аліментів</w:t>
      </w:r>
      <w:r>
        <w:rPr>
          <w:rFonts w:cs="Times New Roman" w:ascii="Tahoma;sans-serif" w:hAnsi="Tahoma;sans-serif"/>
          <w:b w:val="false"/>
          <w:i w:val="false"/>
          <w:caps w:val="false"/>
          <w:smallCaps w:val="false"/>
          <w:color w:val="0C4863"/>
          <w:spacing w:val="0"/>
          <w:sz w:val="21"/>
          <w:szCs w:val="28"/>
        </w:rPr>
        <w:t xml:space="preserve">. </w:t>
        <w:tab/>
      </w:r>
      <w:r>
        <w:rPr>
          <w:rFonts w:cs="Times New Roman" w:ascii="Times New Roman" w:hAnsi="Times New Roman"/>
          <w:b/>
          <w:bCs/>
          <w:i/>
          <w:iCs/>
          <w:caps w:val="false"/>
          <w:smallCaps w:val="false"/>
          <w:color w:val="000000"/>
          <w:spacing w:val="0"/>
          <w:sz w:val="28"/>
          <w:szCs w:val="28"/>
        </w:rPr>
        <w:t>Що робити у такому випадку, консультують фахівці Сарненського місцевого центру.</w:t>
      </w:r>
      <w:r>
        <w:rPr>
          <w:rFonts w:cs="Times New Roman" w:ascii="Times New Roman" w:hAnsi="Times New Roman"/>
          <w:b/>
          <w:bCs/>
          <w:i/>
          <w:iCs/>
          <w:color w:val="000000"/>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Відповідно до ст. 196 Сімейного кодексу країни, у разі виникнення заборгованості з вини особи, яка зобов’язана сплачувати аліменти за рішенням суду або за домовленістю між батьками, одержувач аліментів має право на стягнення неустойки (пені) у розмірі 1%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 але не більше 100 відсотків заборгованості.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Розмір пені може бути зменшений судом з урахуванням матеріального становища платника аліментів.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Звільняються від сплати пені по аліментам особи-платника аліментів, які є неповнолітні.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Як же ж правильно порахувати пеню у випадках заборгованості по аліментам?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Відповідь на це питання дає постанова №6-94цс15 від 01.07.2015 року, що була прийнята за наслідками неоднакового застосування судами одних і тих самих норм матеріального права у подібних правовідносинах.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Верховний суд України у свої постанові зазначив, що пеня (неустойка), яка є дієвим стимулом належного виконання обов’язку та виходячи з того, що аліменти призначаються та виплачуються (стягуються) щомісячно, за змістом статті 196 СК України пеня нараховується на суму заборгованості за той місяць, в якому не проводилось стягнення аліментів.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цьому сума заборгованості за аліментами за попередні місяці не додається до заборгованості за наступні місяці, а кількість днів прострочення обчислюється виходячи з того місяця, в якому аліменти не сплачувались.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Правило про стягнення неустойки (пені) в розмірі 1% від суми несплачених аліментів за кожен день прострочення означає, що при обчисленні загальної суми пені за прострочення сплати аліментів враховується сума несплачених аліментів та кількість днів прострочення.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 огляду на те, що аліменти нараховуються щомісячно, строк виконання цього обов’язку буде різним, а отже, кількість днів прострочення сплати аліментів за кожен місяць також буде різною.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Тобто неустойка (пеня) за один місяць рахується так: заборгованість за аліментами за місяць помножена на 1 % пені і помножена на кількість днів місяця, в якому виникла заборгованість. Загальна сума неустойки (пені) визначається шляхом додавання нарахованої пені за кожен із прострочених платежів (за кожен місяць).</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jc w:val="both"/>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Приклад нарахування пені:</w:t>
      </w:r>
    </w:p>
    <w:tbl>
      <w:tblPr>
        <w:tblStyle w:val="a3"/>
        <w:tblW w:w="9345" w:type="dxa"/>
        <w:jc w:val="left"/>
        <w:tblInd w:w="-5" w:type="dxa"/>
        <w:tblCellMar>
          <w:top w:w="0" w:type="dxa"/>
          <w:left w:w="103" w:type="dxa"/>
          <w:bottom w:w="0" w:type="dxa"/>
          <w:right w:w="108" w:type="dxa"/>
        </w:tblCellMar>
        <w:tblLook w:noVBand="1" w:val="04a0" w:noHBand="0" w:lastColumn="0" w:firstColumn="1" w:lastRow="0" w:firstRow="1"/>
      </w:tblPr>
      <w:tblGrid>
        <w:gridCol w:w="1197"/>
        <w:gridCol w:w="1185"/>
        <w:gridCol w:w="1802"/>
        <w:gridCol w:w="1343"/>
        <w:gridCol w:w="1834"/>
        <w:gridCol w:w="997"/>
        <w:gridCol w:w="986"/>
      </w:tblGrid>
      <w:tr>
        <w:trPr/>
        <w:tc>
          <w:tcPr>
            <w:tcW w:w="1197" w:type="dxa"/>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Місяць</w:t>
            </w:r>
          </w:p>
        </w:tc>
        <w:tc>
          <w:tcPr>
            <w:tcW w:w="1185" w:type="dxa"/>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Сума до сплати (грн.)</w:t>
            </w:r>
          </w:p>
        </w:tc>
        <w:tc>
          <w:tcPr>
            <w:tcW w:w="1802" w:type="dxa"/>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Заборгованість за окремий взятий місяць (грн.)</w:t>
            </w:r>
          </w:p>
        </w:tc>
        <w:tc>
          <w:tcPr>
            <w:tcW w:w="1343" w:type="dxa"/>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Сплачено (грн.)</w:t>
            </w:r>
          </w:p>
        </w:tc>
        <w:tc>
          <w:tcPr>
            <w:tcW w:w="1834" w:type="dxa"/>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Кількість прострочених днів</w:t>
            </w:r>
          </w:p>
        </w:tc>
        <w:tc>
          <w:tcPr>
            <w:tcW w:w="997" w:type="dxa"/>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Розмір пені</w:t>
            </w:r>
          </w:p>
        </w:tc>
        <w:tc>
          <w:tcPr>
            <w:tcW w:w="986" w:type="dxa"/>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Пеня</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(грн.)</w:t>
            </w:r>
          </w:p>
        </w:tc>
      </w:tr>
      <w:tr>
        <w:trPr/>
        <w:tc>
          <w:tcPr>
            <w:tcW w:w="1197" w:type="dxa"/>
            <w:tcBorders/>
            <w:shd w:fill="auto" w:val="clear"/>
            <w:tcMar>
              <w:left w:w="103" w:type="dxa"/>
            </w:tcMar>
          </w:tcPr>
          <w:p>
            <w:pPr>
              <w:pStyle w:val="Normal"/>
              <w:spacing w:lineRule="auto" w:line="276" w:before="240" w:after="0"/>
              <w:jc w:val="center"/>
              <w:rPr>
                <w:rFonts w:ascii="Times New Roman" w:hAnsi="Times New Roman" w:cs="Times New Roman"/>
                <w:sz w:val="28"/>
                <w:szCs w:val="28"/>
              </w:rPr>
            </w:pPr>
            <w:r>
              <w:rPr>
                <w:rFonts w:cs="Times New Roman" w:ascii="Times New Roman" w:hAnsi="Times New Roman"/>
                <w:sz w:val="28"/>
                <w:szCs w:val="28"/>
              </w:rPr>
              <w:t>Травень 2017</w:t>
            </w:r>
          </w:p>
        </w:tc>
        <w:tc>
          <w:tcPr>
            <w:tcW w:w="1185" w:type="dxa"/>
            <w:tcBorders/>
            <w:shd w:fill="auto" w:val="clear"/>
            <w:tcMar>
              <w:left w:w="103" w:type="dxa"/>
            </w:tcMar>
          </w:tcPr>
          <w:p>
            <w:pPr>
              <w:pStyle w:val="Normal"/>
              <w:spacing w:lineRule="auto" w:line="276" w:before="240" w:after="0"/>
              <w:jc w:val="center"/>
              <w:rPr>
                <w:rFonts w:ascii="Times New Roman" w:hAnsi="Times New Roman" w:cs="Times New Roman"/>
                <w:sz w:val="28"/>
                <w:szCs w:val="28"/>
              </w:rPr>
            </w:pPr>
            <w:r>
              <w:rPr>
                <w:rFonts w:cs="Times New Roman" w:ascii="Times New Roman" w:hAnsi="Times New Roman"/>
                <w:sz w:val="28"/>
                <w:szCs w:val="28"/>
              </w:rPr>
              <w:t>910,00</w:t>
            </w:r>
          </w:p>
        </w:tc>
        <w:tc>
          <w:tcPr>
            <w:tcW w:w="1802" w:type="dxa"/>
            <w:tcBorders/>
            <w:shd w:fill="auto" w:val="clear"/>
            <w:tcMar>
              <w:left w:w="103" w:type="dxa"/>
            </w:tcMar>
          </w:tcPr>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t>910,00</w:t>
            </w:r>
          </w:p>
        </w:tc>
        <w:tc>
          <w:tcPr>
            <w:tcW w:w="1343" w:type="dxa"/>
            <w:tcBorders/>
            <w:shd w:fill="auto" w:val="clear"/>
            <w:tcMar>
              <w:left w:w="103" w:type="dxa"/>
            </w:tcMar>
          </w:tcPr>
          <w:p>
            <w:pPr>
              <w:pStyle w:val="Normal"/>
              <w:spacing w:lineRule="auto" w:line="276" w:before="240" w:after="0"/>
              <w:jc w:val="center"/>
              <w:rPr>
                <w:rFonts w:ascii="Times New Roman" w:hAnsi="Times New Roman" w:cs="Times New Roman"/>
                <w:sz w:val="28"/>
                <w:szCs w:val="28"/>
              </w:rPr>
            </w:pPr>
            <w:r>
              <w:rPr>
                <w:rFonts w:cs="Times New Roman" w:ascii="Times New Roman" w:hAnsi="Times New Roman"/>
                <w:sz w:val="28"/>
                <w:szCs w:val="28"/>
              </w:rPr>
              <w:t>0,00</w:t>
            </w:r>
          </w:p>
        </w:tc>
        <w:tc>
          <w:tcPr>
            <w:tcW w:w="1834" w:type="dxa"/>
            <w:tcBorders/>
            <w:shd w:fill="auto" w:val="clear"/>
            <w:tcMar>
              <w:left w:w="103" w:type="dxa"/>
            </w:tcMar>
          </w:tcPr>
          <w:p>
            <w:pPr>
              <w:pStyle w:val="Normal"/>
              <w:spacing w:lineRule="auto" w:line="276" w:before="240" w:after="0"/>
              <w:jc w:val="center"/>
              <w:rPr>
                <w:rFonts w:ascii="Times New Roman" w:hAnsi="Times New Roman" w:cs="Times New Roman"/>
                <w:sz w:val="28"/>
                <w:szCs w:val="28"/>
              </w:rPr>
            </w:pPr>
            <w:r>
              <w:rPr>
                <w:rFonts w:cs="Times New Roman" w:ascii="Times New Roman" w:hAnsi="Times New Roman"/>
                <w:sz w:val="28"/>
                <w:szCs w:val="28"/>
              </w:rPr>
              <w:t>31</w:t>
            </w:r>
          </w:p>
        </w:tc>
        <w:tc>
          <w:tcPr>
            <w:tcW w:w="997" w:type="dxa"/>
            <w:tcBorders/>
            <w:shd w:fill="auto" w:val="clear"/>
            <w:tcMar>
              <w:left w:w="103" w:type="dxa"/>
            </w:tcMar>
          </w:tcPr>
          <w:p>
            <w:pPr>
              <w:pStyle w:val="Normal"/>
              <w:spacing w:lineRule="auto" w:line="276" w:before="240" w:after="0"/>
              <w:jc w:val="center"/>
              <w:rPr>
                <w:rFonts w:ascii="Times New Roman" w:hAnsi="Times New Roman" w:cs="Times New Roman"/>
                <w:sz w:val="28"/>
                <w:szCs w:val="28"/>
              </w:rPr>
            </w:pPr>
            <w:r>
              <w:rPr>
                <w:rFonts w:cs="Times New Roman" w:ascii="Times New Roman" w:hAnsi="Times New Roman"/>
                <w:sz w:val="28"/>
                <w:szCs w:val="28"/>
              </w:rPr>
              <w:t>1%</w:t>
            </w:r>
          </w:p>
        </w:tc>
        <w:tc>
          <w:tcPr>
            <w:tcW w:w="986" w:type="dxa"/>
            <w:tcBorders/>
            <w:shd w:fill="auto" w:val="clear"/>
            <w:tcMar>
              <w:left w:w="103" w:type="dxa"/>
            </w:tcMar>
          </w:tcPr>
          <w:p>
            <w:pPr>
              <w:pStyle w:val="Normal"/>
              <w:spacing w:lineRule="auto" w:line="276" w:before="240" w:after="0"/>
              <w:jc w:val="center"/>
              <w:rPr>
                <w:rFonts w:ascii="Times New Roman" w:hAnsi="Times New Roman" w:cs="Times New Roman"/>
                <w:sz w:val="28"/>
                <w:szCs w:val="28"/>
              </w:rPr>
            </w:pPr>
            <w:r>
              <w:rPr>
                <w:rFonts w:cs="Times New Roman" w:ascii="Times New Roman" w:hAnsi="Times New Roman"/>
                <w:sz w:val="28"/>
                <w:szCs w:val="28"/>
              </w:rPr>
              <w:t>282,10</w:t>
            </w:r>
          </w:p>
        </w:tc>
      </w:tr>
      <w:tr>
        <w:trPr/>
        <w:tc>
          <w:tcPr>
            <w:tcW w:w="1197"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Червень 2017</w:t>
            </w:r>
          </w:p>
        </w:tc>
        <w:tc>
          <w:tcPr>
            <w:tcW w:w="1185"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910,00</w:t>
            </w:r>
          </w:p>
        </w:tc>
        <w:tc>
          <w:tcPr>
            <w:tcW w:w="1802"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910,00</w:t>
            </w:r>
          </w:p>
        </w:tc>
        <w:tc>
          <w:tcPr>
            <w:tcW w:w="1343"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0,00</w:t>
            </w:r>
          </w:p>
        </w:tc>
        <w:tc>
          <w:tcPr>
            <w:tcW w:w="1834"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30</w:t>
            </w:r>
          </w:p>
        </w:tc>
        <w:tc>
          <w:tcPr>
            <w:tcW w:w="997"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986"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273,00</w:t>
            </w:r>
          </w:p>
        </w:tc>
      </w:tr>
      <w:tr>
        <w:trPr/>
        <w:tc>
          <w:tcPr>
            <w:tcW w:w="1197"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Липень 2017</w:t>
            </w:r>
          </w:p>
        </w:tc>
        <w:tc>
          <w:tcPr>
            <w:tcW w:w="1185"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910,00</w:t>
            </w:r>
          </w:p>
        </w:tc>
        <w:tc>
          <w:tcPr>
            <w:tcW w:w="1802"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0,00</w:t>
            </w:r>
          </w:p>
        </w:tc>
        <w:tc>
          <w:tcPr>
            <w:tcW w:w="1343"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910,00</w:t>
            </w:r>
          </w:p>
        </w:tc>
        <w:tc>
          <w:tcPr>
            <w:tcW w:w="1834"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997"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986" w:type="dxa"/>
            <w:tcBorders/>
            <w:shd w:fill="auto" w:val="clear"/>
            <w:tcMar>
              <w:left w:w="103"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0,00</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2970" w:leader="none"/>
        </w:tabs>
        <w:rPr/>
      </w:pPr>
      <w:bookmarkStart w:id="1" w:name="__DdeLink__292_607836107"/>
      <w:r>
        <w:rPr>
          <w:rFonts w:cs="Times New Roman" w:ascii="Times New Roman" w:hAnsi="Times New Roman"/>
          <w:b/>
          <w:sz w:val="28"/>
          <w:szCs w:val="28"/>
        </w:rPr>
        <w:t xml:space="preserve">        </w:t>
      </w:r>
      <w:r>
        <w:rPr>
          <w:rFonts w:cs="Times New Roman" w:ascii="Times New Roman" w:hAnsi="Times New Roman"/>
          <w:b/>
          <w:i w:val="false"/>
          <w:caps w:val="false"/>
          <w:smallCaps w:val="false"/>
          <w:color w:val="000000"/>
          <w:spacing w:val="0"/>
          <w:sz w:val="28"/>
          <w:szCs w:val="28"/>
        </w:rPr>
        <w:t>Довідково</w:t>
      </w:r>
      <w:r>
        <w:rPr>
          <w:rFonts w:cs="Times New Roman" w:ascii="Times New Roman" w:hAnsi="Times New Roman"/>
          <w:b w:val="false"/>
          <w:i w:val="false"/>
          <w:caps w:val="false"/>
          <w:smallCaps w:val="false"/>
          <w:color w:val="000000"/>
          <w:spacing w:val="0"/>
          <w:sz w:val="28"/>
          <w:szCs w:val="28"/>
        </w:rPr>
        <w:t xml:space="preserve">. Сарненський місцевий центр з надання БВПД знаходиться за адресою: </w:t>
      </w:r>
      <w:r>
        <w:rPr>
          <w:rFonts w:cs="Times New Roman" w:ascii="Times New Roman" w:hAnsi="Times New Roman"/>
          <w:b/>
          <w:i w:val="false"/>
          <w:caps w:val="false"/>
          <w:smallCaps w:val="false"/>
          <w:color w:val="000000"/>
          <w:spacing w:val="0"/>
          <w:sz w:val="28"/>
          <w:szCs w:val="28"/>
        </w:rPr>
        <w:t xml:space="preserve">м. Сарни, вул. Широка, 22 </w:t>
      </w:r>
      <w:r>
        <w:rPr>
          <w:rFonts w:cs="Times New Roman" w:ascii="Times New Roman" w:hAnsi="Times New Roman"/>
          <w:b w:val="false"/>
          <w:i w:val="false"/>
          <w:caps w:val="false"/>
          <w:smallCaps w:val="false"/>
          <w:color w:val="000000"/>
          <w:spacing w:val="0"/>
          <w:sz w:val="28"/>
          <w:szCs w:val="28"/>
        </w:rPr>
        <w:t xml:space="preserve">(другий поверх приміщення «Приватбанку»). </w:t>
      </w:r>
      <w:r>
        <w:rPr>
          <w:rFonts w:cs="Times New Roman" w:ascii="Times New Roman" w:hAnsi="Times New Roman"/>
          <w:b/>
          <w:i w:val="false"/>
          <w:caps w:val="false"/>
          <w:smallCaps w:val="false"/>
          <w:color w:val="000000"/>
          <w:spacing w:val="0"/>
          <w:sz w:val="28"/>
          <w:szCs w:val="28"/>
        </w:rPr>
        <w:t>Тел.: (03655) 3-22-20, (067) 856 74 35.</w:t>
      </w:r>
      <w:r>
        <w:rPr>
          <w:rFonts w:cs="Times New Roman" w:ascii="Times New Roman" w:hAnsi="Times New Roman"/>
          <w:b w:val="false"/>
          <w:i w:val="false"/>
          <w:caps w:val="false"/>
          <w:smallCaps w:val="false"/>
          <w:color w:val="000000"/>
          <w:spacing w:val="0"/>
          <w:sz w:val="28"/>
          <w:szCs w:val="28"/>
        </w:rPr>
        <w:t xml:space="preserve">Телефон безкоштовної гарячої лінії </w:t>
      </w:r>
      <w:r>
        <w:rPr>
          <w:rFonts w:cs="Times New Roman" w:ascii="Times New Roman" w:hAnsi="Times New Roman"/>
          <w:b/>
          <w:i w:val="false"/>
          <w:caps w:val="false"/>
          <w:smallCaps w:val="false"/>
          <w:color w:val="000000"/>
          <w:spacing w:val="0"/>
          <w:sz w:val="28"/>
          <w:szCs w:val="28"/>
        </w:rPr>
        <w:t xml:space="preserve">0 800 213 103 </w:t>
      </w:r>
      <w:r>
        <w:rPr>
          <w:rFonts w:cs="Times New Roman" w:ascii="Times New Roman" w:hAnsi="Times New Roman"/>
          <w:b w:val="false"/>
          <w:i w:val="false"/>
          <w:caps w:val="false"/>
          <w:smallCaps w:val="false"/>
          <w:color w:val="000000"/>
          <w:spacing w:val="0"/>
          <w:sz w:val="28"/>
          <w:szCs w:val="28"/>
        </w:rPr>
        <w:t>(цілодобово).</w:t>
      </w:r>
    </w:p>
    <w:p>
      <w:pPr>
        <w:pStyle w:val="Style15"/>
        <w:widowControl/>
        <w:ind w:left="0" w:right="0" w:hanging="0"/>
        <w:jc w:val="both"/>
        <w:rPr>
          <w:sz w:val="28"/>
          <w:szCs w:val="28"/>
        </w:rPr>
      </w:pPr>
      <w:r>
        <w:rPr>
          <w:rFonts w:ascii="Times New Roman" w:hAnsi="Times New Roman"/>
          <w:b w:val="false"/>
          <w:i w:val="false"/>
          <w:caps w:val="false"/>
          <w:smallCaps w:val="false"/>
          <w:color w:val="000000"/>
          <w:spacing w:val="0"/>
          <w:sz w:val="28"/>
          <w:szCs w:val="28"/>
        </w:rPr>
        <w:t>Березнівське бюро правової допомоги:</w:t>
      </w:r>
      <w:r>
        <w:rPr>
          <w:rFonts w:ascii="Times New Roman" w:hAnsi="Times New Roman"/>
          <w:b/>
          <w:i w:val="false"/>
          <w:caps w:val="false"/>
          <w:smallCaps w:val="false"/>
          <w:color w:val="000000"/>
          <w:spacing w:val="0"/>
          <w:sz w:val="28"/>
          <w:szCs w:val="28"/>
        </w:rPr>
        <w:t>м. Березне, вул. Київська, 9</w:t>
      </w:r>
      <w:r>
        <w:rPr>
          <w:rFonts w:ascii="Times New Roman" w:hAnsi="Times New Roman"/>
          <w:b w:val="false"/>
          <w:i w:val="false"/>
          <w:caps w:val="false"/>
          <w:smallCaps w:val="false"/>
          <w:color w:val="000000"/>
          <w:spacing w:val="0"/>
          <w:sz w:val="28"/>
          <w:szCs w:val="28"/>
        </w:rPr>
        <w:t>(приміщення ЦНАПу та статистики),</w:t>
      </w:r>
      <w:r>
        <w:rPr>
          <w:rFonts w:ascii="Times New Roman" w:hAnsi="Times New Roman"/>
          <w:b/>
          <w:i w:val="false"/>
          <w:caps w:val="false"/>
          <w:smallCaps w:val="false"/>
          <w:color w:val="000000"/>
          <w:spacing w:val="0"/>
          <w:sz w:val="28"/>
          <w:szCs w:val="28"/>
        </w:rPr>
        <w:t>тел. (03653)5-34-44, (067) 836 50 41, (096) 117 38 45.</w:t>
      </w:r>
    </w:p>
    <w:p>
      <w:pPr>
        <w:pStyle w:val="Style15"/>
        <w:widowControl/>
        <w:ind w:left="0" w:right="0" w:hanging="0"/>
        <w:jc w:val="both"/>
        <w:rPr>
          <w:sz w:val="28"/>
          <w:szCs w:val="28"/>
        </w:rPr>
      </w:pPr>
      <w:r>
        <w:rPr>
          <w:rFonts w:ascii="Times New Roman" w:hAnsi="Times New Roman"/>
          <w:b w:val="false"/>
          <w:i w:val="false"/>
          <w:caps w:val="false"/>
          <w:smallCaps w:val="false"/>
          <w:color w:val="000000"/>
          <w:spacing w:val="0"/>
          <w:sz w:val="28"/>
          <w:szCs w:val="28"/>
        </w:rPr>
        <w:t>Володимирецьке бюро правової допомоги:</w:t>
      </w:r>
      <w:r>
        <w:rPr>
          <w:rFonts w:ascii="Times New Roman" w:hAnsi="Times New Roman"/>
          <w:b/>
          <w:i w:val="false"/>
          <w:caps w:val="false"/>
          <w:smallCaps w:val="false"/>
          <w:color w:val="000000"/>
          <w:spacing w:val="0"/>
          <w:sz w:val="28"/>
          <w:szCs w:val="28"/>
        </w:rPr>
        <w:t xml:space="preserve">смт Володимирець, вул. Соборна, 20 </w:t>
      </w:r>
      <w:r>
        <w:rPr>
          <w:rFonts w:ascii="Times New Roman" w:hAnsi="Times New Roman"/>
          <w:b w:val="false"/>
          <w:i w:val="false"/>
          <w:caps w:val="false"/>
          <w:smallCaps w:val="false"/>
          <w:color w:val="000000"/>
          <w:spacing w:val="0"/>
          <w:sz w:val="28"/>
          <w:szCs w:val="28"/>
        </w:rPr>
        <w:t>(приміщення Володимирецької районної державної нотаріальної контори),</w:t>
      </w:r>
      <w:r>
        <w:rPr>
          <w:rFonts w:ascii="Times New Roman" w:hAnsi="Times New Roman"/>
          <w:b/>
          <w:i w:val="false"/>
          <w:caps w:val="false"/>
          <w:smallCaps w:val="false"/>
          <w:color w:val="000000"/>
          <w:spacing w:val="0"/>
          <w:sz w:val="28"/>
          <w:szCs w:val="28"/>
        </w:rPr>
        <w:t>тел. (03634) 2-58-08, (068) 091 88 85.</w:t>
      </w:r>
    </w:p>
    <w:p>
      <w:pPr>
        <w:pStyle w:val="Style15"/>
        <w:widowControl/>
        <w:ind w:left="0" w:right="0" w:hanging="0"/>
        <w:jc w:val="both"/>
        <w:rPr>
          <w:sz w:val="28"/>
          <w:szCs w:val="28"/>
        </w:rPr>
      </w:pPr>
      <w:r>
        <w:rPr>
          <w:rFonts w:ascii="Times New Roman" w:hAnsi="Times New Roman"/>
          <w:b w:val="false"/>
          <w:i w:val="false"/>
          <w:caps w:val="false"/>
          <w:smallCaps w:val="false"/>
          <w:color w:val="000000"/>
          <w:spacing w:val="0"/>
          <w:sz w:val="28"/>
          <w:szCs w:val="28"/>
        </w:rPr>
        <w:t xml:space="preserve">Дубровицьке бюро правової допомоги: </w:t>
      </w:r>
      <w:r>
        <w:rPr>
          <w:rFonts w:ascii="Times New Roman" w:hAnsi="Times New Roman"/>
          <w:b/>
          <w:i w:val="false"/>
          <w:caps w:val="false"/>
          <w:smallCaps w:val="false"/>
          <w:color w:val="000000"/>
          <w:spacing w:val="0"/>
          <w:sz w:val="28"/>
          <w:szCs w:val="28"/>
        </w:rPr>
        <w:t>м. Дубровиця, вул. Воробинська, 9</w:t>
      </w:r>
      <w:r>
        <w:rPr>
          <w:rFonts w:ascii="Times New Roman" w:hAnsi="Times New Roman"/>
          <w:b w:val="false"/>
          <w:i w:val="false"/>
          <w:caps w:val="false"/>
          <w:smallCaps w:val="false"/>
          <w:color w:val="000000"/>
          <w:spacing w:val="0"/>
          <w:sz w:val="28"/>
          <w:szCs w:val="28"/>
        </w:rPr>
        <w:t xml:space="preserve">(приміщення районної бібліотеки), </w:t>
      </w:r>
      <w:r>
        <w:rPr>
          <w:rFonts w:ascii="Times New Roman" w:hAnsi="Times New Roman"/>
          <w:b/>
          <w:i w:val="false"/>
          <w:caps w:val="false"/>
          <w:smallCaps w:val="false"/>
          <w:color w:val="000000"/>
          <w:spacing w:val="0"/>
          <w:sz w:val="28"/>
          <w:szCs w:val="28"/>
        </w:rPr>
        <w:t>тел. (03658)2-00-06, (068) 085 13 52;.</w:t>
      </w:r>
    </w:p>
    <w:p>
      <w:pPr>
        <w:pStyle w:val="Style15"/>
        <w:widowControl/>
        <w:ind w:left="0" w:right="0" w:hanging="0"/>
        <w:jc w:val="both"/>
        <w:rPr>
          <w:sz w:val="28"/>
          <w:szCs w:val="28"/>
        </w:rPr>
      </w:pPr>
      <w:r>
        <w:rPr>
          <w:rFonts w:ascii="Times New Roman" w:hAnsi="Times New Roman"/>
          <w:b w:val="false"/>
          <w:i w:val="false"/>
          <w:caps w:val="false"/>
          <w:smallCaps w:val="false"/>
          <w:color w:val="000000"/>
          <w:spacing w:val="0"/>
          <w:sz w:val="28"/>
          <w:szCs w:val="28"/>
        </w:rPr>
        <w:t>Рокитнівське бюро правової допомоги:</w:t>
      </w:r>
      <w:r>
        <w:rPr>
          <w:rFonts w:ascii="Times New Roman" w:hAnsi="Times New Roman"/>
          <w:b/>
          <w:i w:val="false"/>
          <w:caps w:val="false"/>
          <w:smallCaps w:val="false"/>
          <w:color w:val="000000"/>
          <w:spacing w:val="0"/>
          <w:sz w:val="28"/>
          <w:szCs w:val="28"/>
        </w:rPr>
        <w:t xml:space="preserve">смт Рокитне, вул. Незалежності, 21 </w:t>
      </w:r>
      <w:r>
        <w:rPr>
          <w:rFonts w:ascii="Times New Roman" w:hAnsi="Times New Roman"/>
          <w:b w:val="false"/>
          <w:i w:val="false"/>
          <w:caps w:val="false"/>
          <w:smallCaps w:val="false"/>
          <w:color w:val="000000"/>
          <w:spacing w:val="0"/>
          <w:sz w:val="28"/>
          <w:szCs w:val="28"/>
        </w:rPr>
        <w:t>(приміщення Управління Державної казначейської служби України в Рокитнівському районі),</w:t>
      </w:r>
      <w:bookmarkEnd w:id="1"/>
      <w:r>
        <w:rPr>
          <w:rFonts w:ascii="Times New Roman" w:hAnsi="Times New Roman"/>
          <w:b/>
          <w:i w:val="false"/>
          <w:caps w:val="false"/>
          <w:smallCaps w:val="false"/>
          <w:color w:val="000000"/>
          <w:spacing w:val="0"/>
          <w:sz w:val="28"/>
          <w:szCs w:val="28"/>
        </w:rPr>
        <w:t>тел. (03635)2-30-03, (097) 318 59 96.</w:t>
      </w:r>
    </w:p>
    <w:p>
      <w:pPr>
        <w:pStyle w:val="Normal"/>
        <w:tabs>
          <w:tab w:val="left" w:pos="2970" w:leader="none"/>
        </w:tabs>
        <w:spacing w:before="0" w:after="160"/>
        <w:rPr>
          <w:sz w:val="28"/>
          <w:szCs w:val="28"/>
        </w:rPr>
      </w:pPr>
      <w:r>
        <w:rPr>
          <w:rFonts w:cs="Times New Roman" w:ascii="Times New Roman" w:hAnsi="Times New Roman"/>
          <w:b/>
          <w:sz w:val="28"/>
          <w:szCs w:val="28"/>
        </w:rPr>
        <w:t xml:space="preserve">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ahoma">
    <w:altName w:val="sans-serif"/>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911a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51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2017-07-17T11:20:00Z</dcterms:created>
  <dc:creator>Reestator</dc:creator>
  <dc:language>uk-UA</dc:language>
  <dcterms:modified xsi:type="dcterms:W3CDTF">2017-09-11T10:53:06Z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