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96B" w:rsidRPr="00AA4E30" w:rsidRDefault="00A8296B" w:rsidP="00AA4E30">
      <w:pPr>
        <w:pStyle w:val="3"/>
        <w:ind w:left="1545" w:right="480"/>
        <w:jc w:val="right"/>
        <w:rPr>
          <w:b w:val="0"/>
          <w:sz w:val="28"/>
          <w:szCs w:val="28"/>
        </w:rPr>
      </w:pPr>
      <w:bookmarkStart w:id="0" w:name="_Toc252462746"/>
      <w:bookmarkStart w:id="1" w:name="_Toc252465640"/>
      <w:bookmarkStart w:id="2" w:name="_Toc252795590"/>
      <w:bookmarkStart w:id="3" w:name="_Toc253665045"/>
      <w:r w:rsidRPr="00AA4E30">
        <w:rPr>
          <w:b w:val="0"/>
          <w:sz w:val="28"/>
          <w:szCs w:val="28"/>
        </w:rPr>
        <w:t>Додаток 2 до Програми</w:t>
      </w:r>
    </w:p>
    <w:p w:rsidR="00AA4E30" w:rsidRDefault="00AA4E30" w:rsidP="00E713BA">
      <w:pPr>
        <w:pStyle w:val="3"/>
        <w:jc w:val="center"/>
        <w:rPr>
          <w:rStyle w:val="a8"/>
          <w:b/>
          <w:color w:val="000000"/>
          <w:sz w:val="28"/>
          <w:szCs w:val="28"/>
        </w:rPr>
      </w:pPr>
    </w:p>
    <w:p w:rsidR="00A8296B" w:rsidRDefault="00A8296B" w:rsidP="00E713BA">
      <w:pPr>
        <w:pStyle w:val="3"/>
        <w:jc w:val="center"/>
        <w:rPr>
          <w:rStyle w:val="a8"/>
          <w:b/>
          <w:color w:val="000000"/>
          <w:sz w:val="28"/>
          <w:szCs w:val="28"/>
        </w:rPr>
      </w:pPr>
      <w:r w:rsidRPr="00914BE7">
        <w:rPr>
          <w:rStyle w:val="a8"/>
          <w:b/>
          <w:color w:val="000000"/>
          <w:sz w:val="28"/>
          <w:szCs w:val="28"/>
        </w:rPr>
        <w:t>Напрями діяльності та заходи Програми</w:t>
      </w:r>
      <w:bookmarkEnd w:id="0"/>
      <w:bookmarkEnd w:id="1"/>
      <w:bookmarkEnd w:id="2"/>
      <w:bookmarkEnd w:id="3"/>
    </w:p>
    <w:p w:rsidR="0055738A" w:rsidRDefault="0055738A" w:rsidP="0055738A">
      <w:pPr>
        <w:jc w:val="center"/>
        <w:rPr>
          <w:b/>
          <w:bCs/>
          <w:sz w:val="28"/>
          <w:szCs w:val="28"/>
          <w:lang w:val="uk-UA"/>
        </w:rPr>
      </w:pPr>
      <w:r w:rsidRPr="0055738A">
        <w:rPr>
          <w:b/>
          <w:bCs/>
          <w:sz w:val="28"/>
          <w:szCs w:val="28"/>
          <w:lang w:val="uk-UA"/>
        </w:rPr>
        <w:t>підвищення ефективності виконання повноважень органами виконавчої влади щодо реалізації державної регіональної політики та впровадження реформ у Сарненському районі на 2022 – 2023 роки</w:t>
      </w:r>
    </w:p>
    <w:p w:rsidR="0055738A" w:rsidRPr="0055738A" w:rsidRDefault="0055738A" w:rsidP="0055738A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15510" w:type="dxa"/>
        <w:tblInd w:w="-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270"/>
        <w:gridCol w:w="2520"/>
        <w:gridCol w:w="1080"/>
        <w:gridCol w:w="1440"/>
        <w:gridCol w:w="1080"/>
        <w:gridCol w:w="1260"/>
        <w:gridCol w:w="1080"/>
        <w:gridCol w:w="1080"/>
        <w:gridCol w:w="2700"/>
      </w:tblGrid>
      <w:tr w:rsidR="00A8296B" w:rsidRPr="00914BE7">
        <w:trPr>
          <w:trHeight w:val="202"/>
        </w:trPr>
        <w:tc>
          <w:tcPr>
            <w:tcW w:w="3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96B" w:rsidRPr="00914BE7" w:rsidRDefault="00A8296B" w:rsidP="00B939C6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914BE7">
              <w:rPr>
                <w:b/>
                <w:bCs/>
                <w:color w:val="000000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96B" w:rsidRPr="00914BE7" w:rsidRDefault="00A8296B" w:rsidP="00B939C6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914BE7">
              <w:rPr>
                <w:b/>
                <w:bCs/>
                <w:color w:val="000000"/>
                <w:lang w:val="uk-UA"/>
              </w:rPr>
              <w:t>Перелік заходів Програми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96B" w:rsidRPr="00914BE7" w:rsidRDefault="00A8296B" w:rsidP="00B939C6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914BE7">
              <w:rPr>
                <w:b/>
                <w:bCs/>
                <w:color w:val="000000"/>
                <w:lang w:val="uk-UA"/>
              </w:rPr>
              <w:t>Строк виконан-ня заходу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96B" w:rsidRPr="00914BE7" w:rsidRDefault="00A8296B" w:rsidP="00B939C6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914BE7">
              <w:rPr>
                <w:b/>
                <w:bCs/>
                <w:color w:val="000000"/>
                <w:lang w:val="uk-UA"/>
              </w:rPr>
              <w:t>Виконавці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96B" w:rsidRPr="00914BE7" w:rsidRDefault="00A8296B" w:rsidP="00B939C6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914BE7">
              <w:rPr>
                <w:b/>
                <w:bCs/>
                <w:color w:val="000000"/>
                <w:lang w:val="uk-UA"/>
              </w:rPr>
              <w:t>Джерела фінансу-вання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914BE7" w:rsidRDefault="00A8296B" w:rsidP="00B939C6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914BE7">
              <w:rPr>
                <w:b/>
                <w:bCs/>
                <w:color w:val="000000"/>
                <w:lang w:val="uk-UA"/>
              </w:rPr>
              <w:t>Орієнтовні обсяги фінансування (вартість), тис. гривень, у тому числі: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914BE7" w:rsidRDefault="00A8296B" w:rsidP="00B939C6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914BE7">
              <w:rPr>
                <w:b/>
                <w:bCs/>
                <w:color w:val="000000"/>
                <w:lang w:val="uk-UA"/>
              </w:rPr>
              <w:t>Очікуваний результат</w:t>
            </w:r>
          </w:p>
        </w:tc>
      </w:tr>
      <w:tr w:rsidR="00A8296B" w:rsidRPr="00914BE7">
        <w:trPr>
          <w:trHeight w:val="111"/>
        </w:trPr>
        <w:tc>
          <w:tcPr>
            <w:tcW w:w="3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914BE7" w:rsidRDefault="00A8296B" w:rsidP="00B939C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914BE7" w:rsidRDefault="00A8296B" w:rsidP="00B939C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914BE7" w:rsidRDefault="00A8296B" w:rsidP="00B939C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914BE7" w:rsidRDefault="00A8296B" w:rsidP="00B939C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914BE7" w:rsidRDefault="00A8296B" w:rsidP="00B939C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914BE7" w:rsidRDefault="007145EF" w:rsidP="0055738A">
            <w:pPr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усього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914BE7" w:rsidRDefault="00A8296B" w:rsidP="00B939C6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202</w:t>
            </w:r>
            <w:r w:rsidR="0055738A">
              <w:rPr>
                <w:b/>
                <w:bCs/>
                <w:color w:val="000000"/>
                <w:lang w:val="uk-UA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914BE7" w:rsidRDefault="00A8296B" w:rsidP="00B939C6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202</w:t>
            </w:r>
            <w:r w:rsidR="0055738A">
              <w:rPr>
                <w:b/>
                <w:bCs/>
                <w:color w:val="000000"/>
                <w:lang w:val="uk-UA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914BE7" w:rsidRDefault="00A8296B" w:rsidP="00B939C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</w:tr>
    </w:tbl>
    <w:p w:rsidR="00A8296B" w:rsidRPr="00914BE7" w:rsidRDefault="00A8296B" w:rsidP="00E713BA">
      <w:pPr>
        <w:rPr>
          <w:sz w:val="2"/>
          <w:szCs w:val="2"/>
          <w:lang w:val="uk-UA"/>
        </w:rPr>
      </w:pPr>
    </w:p>
    <w:tbl>
      <w:tblPr>
        <w:tblW w:w="15510" w:type="dxa"/>
        <w:tblInd w:w="-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270"/>
        <w:gridCol w:w="2520"/>
        <w:gridCol w:w="1080"/>
        <w:gridCol w:w="1440"/>
        <w:gridCol w:w="1080"/>
        <w:gridCol w:w="1260"/>
        <w:gridCol w:w="1080"/>
        <w:gridCol w:w="1080"/>
        <w:gridCol w:w="2700"/>
      </w:tblGrid>
      <w:tr w:rsidR="00A8296B" w:rsidRPr="00914BE7">
        <w:trPr>
          <w:trHeight w:val="74"/>
          <w:tblHeader/>
        </w:trPr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914BE7" w:rsidRDefault="00A8296B" w:rsidP="00B939C6">
            <w:pPr>
              <w:jc w:val="center"/>
              <w:rPr>
                <w:color w:val="000000"/>
                <w:lang w:val="uk-UA"/>
              </w:rPr>
            </w:pPr>
            <w:r w:rsidRPr="00914BE7">
              <w:rPr>
                <w:color w:val="000000"/>
                <w:lang w:val="uk-UA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C32CA9" w:rsidRDefault="00A8296B" w:rsidP="00B939C6">
            <w:pPr>
              <w:jc w:val="center"/>
              <w:rPr>
                <w:color w:val="000000"/>
                <w:lang w:val="uk-UA"/>
              </w:rPr>
            </w:pPr>
            <w:r w:rsidRPr="00C32CA9">
              <w:rPr>
                <w:color w:val="000000"/>
                <w:lang w:val="uk-UA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914BE7" w:rsidRDefault="00A8296B" w:rsidP="00B939C6">
            <w:pPr>
              <w:jc w:val="center"/>
              <w:rPr>
                <w:color w:val="000000"/>
                <w:lang w:val="uk-UA"/>
              </w:rPr>
            </w:pPr>
            <w:r w:rsidRPr="00914BE7">
              <w:rPr>
                <w:color w:val="000000"/>
                <w:lang w:val="uk-UA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914BE7" w:rsidRDefault="00A8296B" w:rsidP="00B939C6">
            <w:pPr>
              <w:jc w:val="center"/>
              <w:rPr>
                <w:color w:val="000000"/>
                <w:lang w:val="uk-UA"/>
              </w:rPr>
            </w:pPr>
            <w:r w:rsidRPr="00914BE7">
              <w:rPr>
                <w:color w:val="000000"/>
                <w:lang w:val="uk-UA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914BE7" w:rsidRDefault="00A8296B" w:rsidP="00B939C6">
            <w:pPr>
              <w:jc w:val="center"/>
              <w:rPr>
                <w:color w:val="000000"/>
                <w:lang w:val="uk-UA"/>
              </w:rPr>
            </w:pPr>
            <w:r w:rsidRPr="00914BE7">
              <w:rPr>
                <w:color w:val="000000"/>
                <w:lang w:val="uk-UA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914BE7" w:rsidRDefault="00A8296B" w:rsidP="00B939C6">
            <w:pPr>
              <w:jc w:val="center"/>
              <w:rPr>
                <w:color w:val="000000"/>
                <w:lang w:val="uk-UA"/>
              </w:rPr>
            </w:pPr>
            <w:r w:rsidRPr="00914BE7">
              <w:rPr>
                <w:color w:val="000000"/>
                <w:lang w:val="uk-UA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914BE7" w:rsidRDefault="00A8296B" w:rsidP="00B939C6">
            <w:pPr>
              <w:jc w:val="center"/>
              <w:rPr>
                <w:color w:val="000000"/>
                <w:lang w:val="uk-UA"/>
              </w:rPr>
            </w:pPr>
            <w:r w:rsidRPr="00914BE7">
              <w:rPr>
                <w:color w:val="000000"/>
                <w:lang w:val="uk-UA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914BE7" w:rsidRDefault="00A8296B" w:rsidP="00B939C6">
            <w:pPr>
              <w:jc w:val="center"/>
              <w:rPr>
                <w:color w:val="000000"/>
                <w:lang w:val="uk-UA"/>
              </w:rPr>
            </w:pPr>
            <w:r w:rsidRPr="00914BE7">
              <w:rPr>
                <w:color w:val="000000"/>
                <w:lang w:val="uk-UA"/>
              </w:rPr>
              <w:t>8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914BE7" w:rsidRDefault="00A8296B" w:rsidP="00B939C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</w:t>
            </w:r>
          </w:p>
        </w:tc>
      </w:tr>
      <w:tr w:rsidR="00A8296B" w:rsidRPr="00914BE7">
        <w:trPr>
          <w:trHeight w:val="74"/>
        </w:trPr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AE3F5D" w:rsidRDefault="00A8296B" w:rsidP="0055738A">
            <w:pPr>
              <w:jc w:val="both"/>
              <w:rPr>
                <w:lang w:val="uk-UA"/>
              </w:rPr>
            </w:pPr>
            <w:r w:rsidRPr="00AE3F5D">
              <w:rPr>
                <w:lang w:val="uk-UA"/>
              </w:rPr>
              <w:t xml:space="preserve">1.Забезпечення відкритої діяльності органів виконавчої влади з питань фінансової децентралізації, формування фінансово спроможних територіальних громад, впровадження реформ у всіх галузях та сферах діяльності, ефективної реалізації реформ на місцевому рівні, у тому числі з урахуванням змін до бюджетного, податкового законодавства, нової концепції міжбюджетних </w:t>
            </w:r>
            <w:r>
              <w:rPr>
                <w:lang w:val="uk-UA"/>
              </w:rPr>
              <w:t>відносин</w:t>
            </w:r>
            <w:r w:rsidRPr="00AE3F5D">
              <w:rPr>
                <w:lang w:val="uk-UA"/>
              </w:rPr>
              <w:t xml:space="preserve"> та підвищення самостійності місцевих бюджетів. Проведення роз’яснювальних заходів з питань реалізації відповідно до законодавства програм соціально-економічного розвитку </w:t>
            </w:r>
            <w:r w:rsidR="0055738A">
              <w:rPr>
                <w:lang w:val="uk-UA"/>
              </w:rPr>
              <w:t xml:space="preserve">району </w:t>
            </w:r>
            <w:r w:rsidRPr="00AE3F5D">
              <w:rPr>
                <w:lang w:val="uk-UA"/>
              </w:rPr>
              <w:t>з охопленням широкої аудиторії як працівників органів виконавчої влади, місцевого самоврядування, працівників бюджетних установ, так і громадян</w:t>
            </w:r>
          </w:p>
          <w:p w:rsidR="00A8296B" w:rsidRPr="00AE3F5D" w:rsidRDefault="00A8296B" w:rsidP="00B939C6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D32F7A" w:rsidRDefault="00D32F7A" w:rsidP="0055738A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lang w:val="uk-UA"/>
              </w:rPr>
              <w:lastRenderedPageBreak/>
              <w:t>Надання роз</w:t>
            </w:r>
            <w:r w:rsidRPr="00D32F7A">
              <w:rPr>
                <w:lang w:val="uk-UA"/>
              </w:rPr>
              <w:t>’</w:t>
            </w:r>
            <w:r>
              <w:rPr>
                <w:lang w:val="uk-UA"/>
              </w:rPr>
              <w:t xml:space="preserve">яснень </w:t>
            </w:r>
            <w:r w:rsidR="00A8296B">
              <w:rPr>
                <w:lang w:val="uk-UA"/>
              </w:rPr>
              <w:t>і</w:t>
            </w:r>
            <w:r w:rsidR="00A8296B" w:rsidRPr="00AE3F5D">
              <w:rPr>
                <w:lang w:val="uk-UA"/>
              </w:rPr>
              <w:t xml:space="preserve">з впровадження реформ у всіх галузях діяльності, змін до бюджетного, податкового законодавства, нової концепції міжбюджетних </w:t>
            </w:r>
            <w:r w:rsidR="00A8296B">
              <w:rPr>
                <w:lang w:val="uk-UA"/>
              </w:rPr>
              <w:t>відносин</w:t>
            </w:r>
            <w:r w:rsidR="00A8296B" w:rsidRPr="00AE3F5D">
              <w:rPr>
                <w:lang w:val="uk-UA"/>
              </w:rPr>
              <w:t>, підвищення самостійності місцевих бюджетів та рішень про відповідні місцеві, придбання паперу та друк, обмін досвідом, проведення семінарів, конференцій, нарад, навчань, практикумів, круглих столів</w:t>
            </w:r>
            <w:r w:rsidR="00A8296B">
              <w:rPr>
                <w:lang w:val="uk-UA"/>
              </w:rPr>
              <w:t xml:space="preserve">, </w:t>
            </w:r>
            <w:r w:rsidR="00A8296B" w:rsidRPr="007E7111">
              <w:rPr>
                <w:bCs/>
                <w:iCs/>
                <w:lang w:val="uk-UA"/>
              </w:rPr>
              <w:t>колегій</w:t>
            </w:r>
            <w:r w:rsidR="0055738A">
              <w:rPr>
                <w:bCs/>
                <w:iCs/>
                <w:lang w:val="uk-UA"/>
              </w:rPr>
              <w:t xml:space="preserve"> районної державної адміністрації</w:t>
            </w:r>
            <w:r w:rsidRPr="00D32F7A">
              <w:rPr>
                <w:bCs/>
                <w:iCs/>
                <w:lang w:val="uk-UA"/>
              </w:rPr>
              <w:t>,</w:t>
            </w:r>
            <w:r>
              <w:rPr>
                <w:bCs/>
                <w:iCs/>
                <w:lang w:val="uk-UA"/>
              </w:rPr>
              <w:t xml:space="preserve"> а також участь у  виїзних тематичних  семінарах, нарадах на території населених пунктів району. </w:t>
            </w:r>
          </w:p>
          <w:p w:rsidR="00A8296B" w:rsidRPr="00AE3F5D" w:rsidRDefault="00A8296B" w:rsidP="0055738A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</w:p>
          <w:p w:rsidR="00A8296B" w:rsidRPr="00AE3F5D" w:rsidRDefault="00A8296B" w:rsidP="00B939C6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</w:p>
          <w:p w:rsidR="00A8296B" w:rsidRPr="00082B2B" w:rsidRDefault="00A8296B" w:rsidP="00B939C6">
            <w:pPr>
              <w:jc w:val="center"/>
              <w:rPr>
                <w:color w:val="000000"/>
                <w:lang w:val="uk-UA"/>
              </w:rPr>
            </w:pPr>
          </w:p>
          <w:p w:rsidR="00A8296B" w:rsidRPr="00082B2B" w:rsidRDefault="00A8296B" w:rsidP="00B939C6">
            <w:pPr>
              <w:jc w:val="center"/>
              <w:rPr>
                <w:color w:val="000000"/>
                <w:lang w:val="uk-UA"/>
              </w:rPr>
            </w:pPr>
          </w:p>
          <w:p w:rsidR="00A8296B" w:rsidRPr="00082B2B" w:rsidRDefault="00A8296B" w:rsidP="00B939C6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8A" w:rsidRDefault="0055738A" w:rsidP="00B939C6">
            <w:pPr>
              <w:jc w:val="center"/>
              <w:rPr>
                <w:color w:val="000000"/>
                <w:lang w:val="uk-UA"/>
              </w:rPr>
            </w:pPr>
          </w:p>
          <w:p w:rsidR="0055738A" w:rsidRDefault="0055738A" w:rsidP="00B939C6">
            <w:pPr>
              <w:jc w:val="center"/>
              <w:rPr>
                <w:color w:val="000000"/>
                <w:lang w:val="uk-UA"/>
              </w:rPr>
            </w:pPr>
          </w:p>
          <w:p w:rsidR="0055738A" w:rsidRDefault="0055738A" w:rsidP="00B939C6">
            <w:pPr>
              <w:jc w:val="center"/>
              <w:rPr>
                <w:color w:val="000000"/>
                <w:lang w:val="uk-UA"/>
              </w:rPr>
            </w:pPr>
          </w:p>
          <w:p w:rsidR="00A8296B" w:rsidRPr="00AE3F5D" w:rsidRDefault="00A8296B" w:rsidP="00EA67FE">
            <w:pPr>
              <w:rPr>
                <w:color w:val="000000"/>
                <w:lang w:val="uk-UA"/>
              </w:rPr>
            </w:pPr>
            <w:r w:rsidRPr="00AE3F5D">
              <w:rPr>
                <w:color w:val="000000"/>
                <w:lang w:val="uk-UA"/>
              </w:rPr>
              <w:t>20</w:t>
            </w:r>
            <w:r>
              <w:rPr>
                <w:color w:val="000000"/>
                <w:lang w:val="uk-UA"/>
              </w:rPr>
              <w:t>2</w:t>
            </w:r>
            <w:r w:rsidR="0055738A">
              <w:rPr>
                <w:color w:val="000000"/>
                <w:lang w:val="uk-UA"/>
              </w:rPr>
              <w:t>2</w:t>
            </w:r>
            <w:r>
              <w:rPr>
                <w:color w:val="000000"/>
                <w:lang w:val="uk-UA"/>
              </w:rPr>
              <w:t>-202</w:t>
            </w:r>
            <w:r w:rsidR="0055738A">
              <w:rPr>
                <w:color w:val="000000"/>
                <w:lang w:val="uk-UA"/>
              </w:rPr>
              <w:t>3</w:t>
            </w:r>
            <w:r w:rsidRPr="00AE3F5D">
              <w:rPr>
                <w:color w:val="000000"/>
                <w:lang w:val="uk-UA"/>
              </w:rPr>
              <w:t>роки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AE3F5D" w:rsidRDefault="0055738A" w:rsidP="0055738A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Сарненська районна державна адміністрація, с</w:t>
            </w:r>
            <w:r w:rsidR="00A8296B" w:rsidRPr="00AE3F5D">
              <w:rPr>
                <w:color w:val="000000"/>
                <w:lang w:val="uk-UA"/>
              </w:rPr>
              <w:t>труктурні підро</w:t>
            </w:r>
            <w:r w:rsidR="00A8296B">
              <w:rPr>
                <w:color w:val="000000"/>
                <w:lang w:val="uk-UA"/>
              </w:rPr>
              <w:t>зділи</w:t>
            </w:r>
            <w:r>
              <w:rPr>
                <w:color w:val="000000"/>
                <w:lang w:val="uk-UA"/>
              </w:rPr>
              <w:t xml:space="preserve"> райдержадміністраці</w:t>
            </w:r>
            <w:r w:rsidR="00EA67FE">
              <w:rPr>
                <w:color w:val="000000"/>
                <w:lang w:val="uk-UA"/>
              </w:rPr>
              <w:t>ї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AE3F5D" w:rsidRDefault="00107AB7" w:rsidP="0055738A">
            <w:pPr>
              <w:jc w:val="center"/>
              <w:rPr>
                <w:color w:val="000000"/>
                <w:sz w:val="23"/>
                <w:szCs w:val="23"/>
                <w:lang w:val="uk-UA"/>
              </w:rPr>
            </w:pPr>
            <w:r>
              <w:rPr>
                <w:color w:val="000000"/>
                <w:sz w:val="23"/>
                <w:szCs w:val="23"/>
                <w:lang w:val="uk-UA"/>
              </w:rPr>
              <w:t>Бюджети територіальних громад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EA67FE" w:rsidRDefault="0065176E" w:rsidP="00B939C6">
            <w:pPr>
              <w:jc w:val="center"/>
              <w:rPr>
                <w:lang w:val="uk-UA"/>
              </w:rPr>
            </w:pPr>
            <w:r w:rsidRPr="00EA67FE">
              <w:rPr>
                <w:lang w:val="uk-UA"/>
              </w:rPr>
              <w:t>200,00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EA67FE" w:rsidRDefault="0065176E" w:rsidP="00B939C6">
            <w:pPr>
              <w:jc w:val="center"/>
              <w:rPr>
                <w:lang w:val="uk-UA"/>
              </w:rPr>
            </w:pPr>
            <w:r w:rsidRPr="00EA67FE">
              <w:rPr>
                <w:lang w:val="uk-UA"/>
              </w:rPr>
              <w:t>100,00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EA67FE" w:rsidRDefault="0065176E" w:rsidP="00B939C6">
            <w:pPr>
              <w:jc w:val="center"/>
              <w:rPr>
                <w:bCs/>
                <w:iCs/>
                <w:lang w:val="uk-UA"/>
              </w:rPr>
            </w:pPr>
            <w:r w:rsidRPr="00EA67FE">
              <w:rPr>
                <w:bCs/>
                <w:iCs/>
                <w:lang w:val="uk-UA"/>
              </w:rPr>
              <w:t>100,00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AE3F5D" w:rsidRDefault="00A8296B" w:rsidP="007145EF">
            <w:pPr>
              <w:pStyle w:val="a6"/>
              <w:keepNext/>
              <w:widowControl w:val="0"/>
              <w:jc w:val="both"/>
              <w:rPr>
                <w:b w:val="0"/>
                <w:bCs w:val="0"/>
              </w:rPr>
            </w:pPr>
            <w:r w:rsidRPr="00AE3F5D">
              <w:rPr>
                <w:b w:val="0"/>
                <w:bCs w:val="0"/>
              </w:rPr>
              <w:t xml:space="preserve">Забезпечення структурних підрозділів </w:t>
            </w:r>
            <w:r w:rsidR="0055738A">
              <w:rPr>
                <w:b w:val="0"/>
                <w:bCs w:val="0"/>
              </w:rPr>
              <w:t>райдержадм</w:t>
            </w:r>
            <w:r w:rsidR="007145EF">
              <w:rPr>
                <w:b w:val="0"/>
                <w:bCs w:val="0"/>
              </w:rPr>
              <w:t>і</w:t>
            </w:r>
            <w:r w:rsidR="0055738A">
              <w:rPr>
                <w:b w:val="0"/>
                <w:bCs w:val="0"/>
              </w:rPr>
              <w:t>ністраці</w:t>
            </w:r>
            <w:r w:rsidRPr="00AE3F5D">
              <w:rPr>
                <w:b w:val="0"/>
                <w:bCs w:val="0"/>
              </w:rPr>
              <w:t xml:space="preserve">ї, </w:t>
            </w:r>
            <w:r w:rsidR="00377955">
              <w:rPr>
                <w:b w:val="0"/>
                <w:bCs w:val="0"/>
              </w:rPr>
              <w:t>територіальних громад району,</w:t>
            </w:r>
            <w:r w:rsidR="00EA67FE" w:rsidRPr="00EA67FE">
              <w:rPr>
                <w:b w:val="0"/>
                <w:bCs w:val="0"/>
              </w:rPr>
              <w:t xml:space="preserve"> </w:t>
            </w:r>
            <w:r w:rsidRPr="00AE3F5D">
              <w:rPr>
                <w:b w:val="0"/>
                <w:bCs w:val="0"/>
                <w:color w:val="000000"/>
                <w:shd w:val="clear" w:color="auto" w:fill="FFFFFF"/>
              </w:rPr>
              <w:t xml:space="preserve">матеріалами  необхідними для прийняття рішень, аналізу та розв'язання проблем з виконання програм соціально-економічного розвитку </w:t>
            </w:r>
            <w:r w:rsidR="0055738A">
              <w:rPr>
                <w:b w:val="0"/>
                <w:bCs w:val="0"/>
                <w:color w:val="000000"/>
                <w:shd w:val="clear" w:color="auto" w:fill="FFFFFF"/>
              </w:rPr>
              <w:t>району</w:t>
            </w:r>
            <w:r w:rsidRPr="00AE3F5D">
              <w:rPr>
                <w:b w:val="0"/>
                <w:bCs w:val="0"/>
                <w:color w:val="000000"/>
                <w:shd w:val="clear" w:color="auto" w:fill="FFFFFF"/>
              </w:rPr>
              <w:t xml:space="preserve">; </w:t>
            </w:r>
            <w:r w:rsidRPr="00AE3F5D">
              <w:rPr>
                <w:b w:val="0"/>
                <w:bCs w:val="0"/>
              </w:rPr>
              <w:t>по</w:t>
            </w:r>
            <w:r>
              <w:rPr>
                <w:b w:val="0"/>
                <w:bCs w:val="0"/>
              </w:rPr>
              <w:t>ліпшення</w:t>
            </w:r>
            <w:r w:rsidRPr="00AE3F5D">
              <w:rPr>
                <w:b w:val="0"/>
                <w:bCs w:val="0"/>
              </w:rPr>
              <w:t xml:space="preserve"> співпраці з </w:t>
            </w:r>
            <w:r w:rsidR="0055738A">
              <w:rPr>
                <w:b w:val="0"/>
                <w:bCs w:val="0"/>
              </w:rPr>
              <w:t xml:space="preserve">територіальними </w:t>
            </w:r>
            <w:r w:rsidRPr="00AE3F5D">
              <w:rPr>
                <w:b w:val="0"/>
                <w:bCs w:val="0"/>
              </w:rPr>
              <w:t xml:space="preserve"> громадами щодо вирішення питань впровадження реформ і ефективного виконання місцевих бюджетів;</w:t>
            </w:r>
          </w:p>
          <w:p w:rsidR="00A8296B" w:rsidRPr="00AE3F5D" w:rsidRDefault="00A8296B" w:rsidP="007145EF">
            <w:pPr>
              <w:jc w:val="both"/>
              <w:rPr>
                <w:color w:val="000000"/>
                <w:lang w:val="uk-UA"/>
              </w:rPr>
            </w:pPr>
            <w:r w:rsidRPr="00AE3F5D">
              <w:rPr>
                <w:color w:val="000000"/>
                <w:lang w:val="uk-UA"/>
              </w:rPr>
              <w:t>активізація участі громадськості в запланованих реформах, формуванні та реалізації державної  регіональної  політики</w:t>
            </w:r>
            <w:r w:rsidR="00377955">
              <w:rPr>
                <w:color w:val="000000"/>
                <w:lang w:val="uk-UA"/>
              </w:rPr>
              <w:t>.</w:t>
            </w:r>
          </w:p>
          <w:p w:rsidR="00A8296B" w:rsidRPr="00AE3F5D" w:rsidRDefault="00A8296B" w:rsidP="00B939C6">
            <w:pPr>
              <w:jc w:val="center"/>
              <w:rPr>
                <w:color w:val="000000"/>
                <w:lang w:val="uk-UA"/>
              </w:rPr>
            </w:pPr>
          </w:p>
        </w:tc>
      </w:tr>
      <w:tr w:rsidR="00A8296B" w:rsidRPr="00EA67FE">
        <w:trPr>
          <w:trHeight w:val="74"/>
        </w:trPr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AE3F5D" w:rsidRDefault="0055738A" w:rsidP="0055738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2</w:t>
            </w:r>
            <w:r w:rsidR="00A8296B" w:rsidRPr="00AE3F5D">
              <w:rPr>
                <w:lang w:val="uk-UA"/>
              </w:rPr>
              <w:t xml:space="preserve">.Інформування </w:t>
            </w:r>
            <w:r w:rsidR="00A8296B" w:rsidRPr="00AE3F5D">
              <w:rPr>
                <w:color w:val="000000"/>
                <w:lang w:val="uk-UA"/>
              </w:rPr>
              <w:t>громадськості,</w:t>
            </w:r>
            <w:r w:rsidR="00A8296B" w:rsidRPr="00AE3F5D">
              <w:rPr>
                <w:lang w:val="uk-UA"/>
              </w:rPr>
              <w:t xml:space="preserve"> організація та розроблення регіональних цільових програм, моніторинг програм розвитку </w:t>
            </w:r>
            <w:r>
              <w:rPr>
                <w:lang w:val="uk-UA"/>
              </w:rPr>
              <w:t>району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AE3F5D" w:rsidRDefault="00A8296B" w:rsidP="007145EF">
            <w:pPr>
              <w:jc w:val="both"/>
              <w:rPr>
                <w:sz w:val="23"/>
                <w:szCs w:val="23"/>
                <w:lang w:val="uk-UA"/>
              </w:rPr>
            </w:pPr>
            <w:r w:rsidRPr="00AE3F5D">
              <w:rPr>
                <w:lang w:val="uk-UA"/>
              </w:rPr>
              <w:t>Висвітлення діяльності на електронних засобах масової інформації</w:t>
            </w:r>
            <w:r w:rsidR="0055738A">
              <w:rPr>
                <w:lang w:val="uk-UA"/>
              </w:rPr>
              <w:t xml:space="preserve"> та </w:t>
            </w:r>
            <w:r w:rsidRPr="00AE3F5D">
              <w:rPr>
                <w:lang w:val="uk-UA"/>
              </w:rPr>
              <w:t xml:space="preserve">на офіційному </w:t>
            </w:r>
            <w:r>
              <w:rPr>
                <w:lang w:val="uk-UA"/>
              </w:rPr>
              <w:t>веб</w:t>
            </w:r>
            <w:r w:rsidRPr="00AE3F5D">
              <w:rPr>
                <w:lang w:val="uk-UA"/>
              </w:rPr>
              <w:t xml:space="preserve">сайті та в соціальних мережах з роз’ясненням </w:t>
            </w:r>
            <w:r w:rsidRPr="00AE3F5D">
              <w:rPr>
                <w:sz w:val="23"/>
                <w:szCs w:val="23"/>
                <w:lang w:val="uk-UA"/>
              </w:rPr>
              <w:t>актуальних питань по впровадженню реформ; розроблення, моніторинг та виконання</w:t>
            </w:r>
            <w:r w:rsidRPr="00AE3F5D">
              <w:rPr>
                <w:lang w:val="uk-UA"/>
              </w:rPr>
              <w:t xml:space="preserve"> регіональних цільових програм та програм розвитку </w:t>
            </w:r>
            <w:r w:rsidR="007145EF">
              <w:rPr>
                <w:lang w:val="uk-UA"/>
              </w:rPr>
              <w:t>району</w:t>
            </w:r>
          </w:p>
          <w:p w:rsidR="00A8296B" w:rsidRPr="00AE3F5D" w:rsidRDefault="00A8296B" w:rsidP="00B939C6">
            <w:pPr>
              <w:jc w:val="center"/>
              <w:rPr>
                <w:sz w:val="23"/>
                <w:szCs w:val="23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AE3F5D" w:rsidRDefault="00A8296B" w:rsidP="00EA67FE">
            <w:pPr>
              <w:rPr>
                <w:color w:val="000000"/>
                <w:lang w:val="uk-UA"/>
              </w:rPr>
            </w:pPr>
            <w:r w:rsidRPr="00AE3F5D">
              <w:rPr>
                <w:color w:val="000000"/>
                <w:lang w:val="uk-UA"/>
              </w:rPr>
              <w:t>20</w:t>
            </w:r>
            <w:r>
              <w:rPr>
                <w:color w:val="000000"/>
                <w:lang w:val="uk-UA"/>
              </w:rPr>
              <w:t>2</w:t>
            </w:r>
            <w:r w:rsidR="007145EF">
              <w:rPr>
                <w:color w:val="000000"/>
                <w:lang w:val="uk-UA"/>
              </w:rPr>
              <w:t>2</w:t>
            </w:r>
            <w:r>
              <w:rPr>
                <w:color w:val="000000"/>
                <w:lang w:val="uk-UA"/>
              </w:rPr>
              <w:t>-202</w:t>
            </w:r>
            <w:r w:rsidR="007145EF">
              <w:rPr>
                <w:color w:val="000000"/>
                <w:lang w:val="uk-UA"/>
              </w:rPr>
              <w:t>3</w:t>
            </w:r>
            <w:r w:rsidRPr="00AE3F5D">
              <w:rPr>
                <w:color w:val="000000"/>
                <w:lang w:val="uk-UA"/>
              </w:rPr>
              <w:t>роки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AE3F5D" w:rsidRDefault="007145EF" w:rsidP="00EA67FE">
            <w:pPr>
              <w:jc w:val="both"/>
              <w:rPr>
                <w:color w:val="000000"/>
                <w:lang w:val="uk-UA"/>
              </w:rPr>
            </w:pPr>
            <w:r w:rsidRPr="007145EF">
              <w:rPr>
                <w:color w:val="000000"/>
                <w:lang w:val="uk-UA"/>
              </w:rPr>
              <w:t>Сарненська районна державна адміністрація, структурні підрозділи райдержадміністраці</w:t>
            </w:r>
            <w:r w:rsidR="00EA67FE">
              <w:rPr>
                <w:color w:val="000000"/>
                <w:lang w:val="uk-UA"/>
              </w:rPr>
              <w:t>ї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AE3F5D" w:rsidRDefault="00107AB7" w:rsidP="007145EF">
            <w:pPr>
              <w:jc w:val="center"/>
              <w:rPr>
                <w:color w:val="000000"/>
                <w:sz w:val="23"/>
                <w:szCs w:val="23"/>
                <w:lang w:val="uk-UA"/>
              </w:rPr>
            </w:pPr>
            <w:r>
              <w:rPr>
                <w:color w:val="000000"/>
                <w:sz w:val="23"/>
                <w:szCs w:val="23"/>
                <w:lang w:val="uk-UA"/>
              </w:rPr>
              <w:t>Бюджети територіальних громад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AE3F5D" w:rsidRDefault="0065176E" w:rsidP="00B939C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AE3F5D" w:rsidRDefault="0065176E" w:rsidP="00B939C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AE3F5D" w:rsidRDefault="0065176E" w:rsidP="00B939C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100,00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AE3F5D" w:rsidRDefault="00A8296B" w:rsidP="007145EF">
            <w:pPr>
              <w:jc w:val="both"/>
              <w:rPr>
                <w:lang w:val="uk-UA"/>
              </w:rPr>
            </w:pPr>
            <w:r w:rsidRPr="00AE3F5D">
              <w:rPr>
                <w:lang w:val="uk-UA"/>
              </w:rPr>
              <w:t xml:space="preserve">Забезпечення інформацією жителів </w:t>
            </w:r>
            <w:r w:rsidR="007145EF">
              <w:rPr>
                <w:lang w:val="uk-UA"/>
              </w:rPr>
              <w:t>району</w:t>
            </w:r>
            <w:r w:rsidRPr="00AE3F5D">
              <w:rPr>
                <w:lang w:val="uk-UA"/>
              </w:rPr>
              <w:t xml:space="preserve"> про діяльність місцевих органів виконавчої влади, залучення їх до розроблення та моніторингу регіональних цільових програм</w:t>
            </w:r>
            <w:r w:rsidR="00365F38">
              <w:rPr>
                <w:lang w:val="uk-UA"/>
              </w:rPr>
              <w:t>.</w:t>
            </w:r>
          </w:p>
          <w:p w:rsidR="00A8296B" w:rsidRPr="00AE3F5D" w:rsidRDefault="00A8296B" w:rsidP="00B939C6">
            <w:pPr>
              <w:jc w:val="center"/>
              <w:rPr>
                <w:lang w:val="uk-UA"/>
              </w:rPr>
            </w:pPr>
          </w:p>
        </w:tc>
      </w:tr>
      <w:tr w:rsidR="00A8296B" w:rsidRPr="00EA67FE">
        <w:trPr>
          <w:trHeight w:val="74"/>
        </w:trPr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AE3F5D" w:rsidRDefault="007145EF" w:rsidP="007145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A8296B" w:rsidRPr="00AE3F5D">
              <w:rPr>
                <w:lang w:val="uk-UA"/>
              </w:rPr>
              <w:t xml:space="preserve">. Надання оперативних консультацій, обговорення актуальних питань </w:t>
            </w:r>
            <w:r w:rsidR="00A8296B">
              <w:rPr>
                <w:lang w:val="uk-UA"/>
              </w:rPr>
              <w:t>із у</w:t>
            </w:r>
            <w:r w:rsidR="00A8296B" w:rsidRPr="00AE3F5D">
              <w:rPr>
                <w:lang w:val="uk-UA"/>
              </w:rPr>
              <w:t>провадженн</w:t>
            </w:r>
            <w:r w:rsidR="00A8296B">
              <w:rPr>
                <w:lang w:val="uk-UA"/>
              </w:rPr>
              <w:t>я</w:t>
            </w:r>
            <w:r w:rsidR="00A8296B" w:rsidRPr="00AE3F5D">
              <w:rPr>
                <w:lang w:val="uk-UA"/>
              </w:rPr>
              <w:t xml:space="preserve"> реформ та соціально-економічного розвитку </w:t>
            </w:r>
            <w:r>
              <w:rPr>
                <w:lang w:val="uk-UA"/>
              </w:rPr>
              <w:t xml:space="preserve">району </w:t>
            </w:r>
            <w:r w:rsidR="00A8296B" w:rsidRPr="00AE3F5D">
              <w:rPr>
                <w:lang w:val="uk-UA"/>
              </w:rPr>
              <w:t xml:space="preserve"> за участю фахівців</w:t>
            </w:r>
            <w:r w:rsidR="0065176E">
              <w:rPr>
                <w:lang w:val="uk-UA"/>
              </w:rPr>
              <w:t xml:space="preserve"> районної державної адміністрації</w:t>
            </w:r>
            <w:r w:rsidR="00A8296B" w:rsidRPr="00AE3F5D">
              <w:rPr>
                <w:lang w:val="uk-UA"/>
              </w:rPr>
              <w:t>;</w:t>
            </w:r>
          </w:p>
          <w:p w:rsidR="00A8296B" w:rsidRPr="00E713BA" w:rsidRDefault="00A8296B" w:rsidP="007145EF">
            <w:pPr>
              <w:jc w:val="both"/>
              <w:rPr>
                <w:lang w:val="uk-UA"/>
              </w:rPr>
            </w:pPr>
            <w:r w:rsidRPr="00AE3F5D">
              <w:rPr>
                <w:lang w:val="uk-UA"/>
              </w:rPr>
              <w:t>забезпечення ком’ютерно</w:t>
            </w:r>
            <w:r w:rsidR="00EA67FE">
              <w:rPr>
                <w:lang w:val="uk-UA"/>
              </w:rPr>
              <w:t xml:space="preserve"> </w:t>
            </w:r>
            <w:r w:rsidRPr="00AE3F5D">
              <w:rPr>
                <w:lang w:val="uk-UA"/>
              </w:rPr>
              <w:t xml:space="preserve">-технологічної, ефективної матеріально-технічної і фінансової бази </w:t>
            </w:r>
            <w:r w:rsidRPr="00AE3F5D">
              <w:rPr>
                <w:color w:val="000000"/>
                <w:lang w:val="uk-UA"/>
              </w:rPr>
              <w:t xml:space="preserve">структурних підрозділів </w:t>
            </w:r>
            <w:r w:rsidR="007145EF">
              <w:rPr>
                <w:color w:val="000000"/>
                <w:lang w:val="uk-UA"/>
              </w:rPr>
              <w:t>райдержадміністрації</w:t>
            </w:r>
            <w:r w:rsidRPr="00AE3F5D">
              <w:rPr>
                <w:lang w:val="uk-UA"/>
              </w:rPr>
              <w:t>, супровід програм розвитку;</w:t>
            </w:r>
          </w:p>
          <w:p w:rsidR="00A8296B" w:rsidRPr="00AE3F5D" w:rsidRDefault="00CB374D" w:rsidP="007145EF">
            <w:pPr>
              <w:jc w:val="both"/>
              <w:rPr>
                <w:lang w:val="uk-UA"/>
              </w:rPr>
            </w:pPr>
            <w:r w:rsidRPr="00CB374D">
              <w:rPr>
                <w:lang w:val="uk-UA"/>
              </w:rPr>
              <w:t xml:space="preserve">Матеріальна підтримка та створення умов для ефективної професійної </w:t>
            </w:r>
            <w:r w:rsidRPr="00CB374D">
              <w:rPr>
                <w:lang w:val="uk-UA"/>
              </w:rPr>
              <w:lastRenderedPageBreak/>
              <w:t>діяльності працівників районної державної адміністрації. Стимулювання до досягнення кращих результатів роботи, залучення до роботи в районній державній адміністрації висококваліфікованих спеціалістів для забезпечення якісного виконання повноважень.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AE3F5D" w:rsidRDefault="00CB374D" w:rsidP="00EA67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Фінансове забезпечення виплати заробітної </w:t>
            </w:r>
            <w:bookmarkStart w:id="4" w:name="_GoBack"/>
            <w:bookmarkEnd w:id="4"/>
            <w:r>
              <w:rPr>
                <w:lang w:val="uk-UA"/>
              </w:rPr>
              <w:t>плати та інших обов</w:t>
            </w:r>
            <w:r w:rsidRPr="00CB374D">
              <w:rPr>
                <w:lang w:val="uk-UA"/>
              </w:rPr>
              <w:t>’</w:t>
            </w:r>
            <w:r>
              <w:rPr>
                <w:lang w:val="uk-UA"/>
              </w:rPr>
              <w:t xml:space="preserve">язкових виплат в межах, передбачених законодавством України, матеріальна підтримка працівників райдержадміністрації та її структурних підрозділів на досягнення конкретних результатів. </w:t>
            </w:r>
            <w:r w:rsidR="00A8296B" w:rsidRPr="00AE3F5D">
              <w:rPr>
                <w:lang w:val="uk-UA"/>
              </w:rPr>
              <w:t xml:space="preserve">Матеріально-технічне та фінансове забезпечення заходів програми (придбання </w:t>
            </w:r>
            <w:r w:rsidR="00A8296B">
              <w:rPr>
                <w:lang w:val="uk-UA"/>
              </w:rPr>
              <w:t xml:space="preserve"> </w:t>
            </w:r>
            <w:r w:rsidR="00A8296B">
              <w:rPr>
                <w:lang w:val="uk-UA"/>
              </w:rPr>
              <w:lastRenderedPageBreak/>
              <w:t xml:space="preserve">та встановлення </w:t>
            </w:r>
            <w:r w:rsidR="00A8296B" w:rsidRPr="00AE3F5D">
              <w:rPr>
                <w:lang w:val="uk-UA"/>
              </w:rPr>
              <w:t>сучасних засобів інформатизації і зв’язку</w:t>
            </w:r>
            <w:r w:rsidR="00A8296B">
              <w:rPr>
                <w:bCs/>
                <w:iCs/>
                <w:lang w:val="uk-UA"/>
              </w:rPr>
              <w:t>,</w:t>
            </w:r>
            <w:r w:rsidR="00A8296B" w:rsidRPr="00AE3F5D">
              <w:rPr>
                <w:lang w:val="uk-UA"/>
              </w:rPr>
              <w:t>транспортних засобів,програмного</w:t>
            </w:r>
            <w:r w:rsidR="0065176E">
              <w:rPr>
                <w:lang w:val="uk-UA"/>
              </w:rPr>
              <w:t> </w:t>
            </w:r>
            <w:r w:rsidR="00A8296B" w:rsidRPr="00AE3F5D">
              <w:rPr>
                <w:lang w:val="uk-UA"/>
              </w:rPr>
              <w:t>забезпечення, комп’ютерної техніки, сканерів, принтерів,</w:t>
            </w:r>
            <w:r w:rsidR="00A8296B">
              <w:rPr>
                <w:lang w:val="uk-UA"/>
              </w:rPr>
              <w:t xml:space="preserve"> придбання невиробничого обладнання,</w:t>
            </w:r>
            <w:r>
              <w:rPr>
                <w:lang w:val="uk-UA"/>
              </w:rPr>
              <w:t xml:space="preserve">паперу офісного, заправка картриджів, </w:t>
            </w:r>
            <w:r w:rsidR="00A709A1">
              <w:rPr>
                <w:lang w:val="uk-UA"/>
              </w:rPr>
              <w:t>забезпечення паливно-мастильними матеріалами,</w:t>
            </w:r>
            <w:r w:rsidR="00EA67FE">
              <w:rPr>
                <w:lang w:val="uk-UA"/>
              </w:rPr>
              <w:t xml:space="preserve"> </w:t>
            </w:r>
            <w:r w:rsidR="00A8296B" w:rsidRPr="00AE3F5D">
              <w:rPr>
                <w:color w:val="000000"/>
                <w:lang w:val="uk-UA"/>
              </w:rPr>
              <w:t>інформаційно-технічне забезпечення,  оплата</w:t>
            </w:r>
            <w:r w:rsidR="00EA67FE">
              <w:rPr>
                <w:color w:val="000000"/>
                <w:lang w:val="uk-UA"/>
              </w:rPr>
              <w:t xml:space="preserve"> </w:t>
            </w:r>
            <w:r w:rsidR="00A8296B" w:rsidRPr="007E7111">
              <w:rPr>
                <w:bCs/>
                <w:iCs/>
                <w:color w:val="000000"/>
                <w:lang w:val="uk-UA"/>
              </w:rPr>
              <w:t>поштових</w:t>
            </w:r>
            <w:r w:rsidR="00EA67FE">
              <w:rPr>
                <w:bCs/>
                <w:iCs/>
                <w:color w:val="000000"/>
                <w:lang w:val="uk-UA"/>
              </w:rPr>
              <w:t xml:space="preserve"> </w:t>
            </w:r>
            <w:r w:rsidR="00A8296B">
              <w:rPr>
                <w:color w:val="000000"/>
                <w:lang w:val="uk-UA"/>
              </w:rPr>
              <w:t xml:space="preserve">та </w:t>
            </w:r>
            <w:r w:rsidR="00A8296B" w:rsidRPr="00AE3F5D">
              <w:rPr>
                <w:color w:val="000000"/>
                <w:lang w:val="uk-UA"/>
              </w:rPr>
              <w:t>телекомунікаційних послуг і зв’язку</w:t>
            </w:r>
            <w:r w:rsidR="00A8296B">
              <w:rPr>
                <w:color w:val="000000"/>
                <w:lang w:val="uk-UA"/>
              </w:rPr>
              <w:t xml:space="preserve">, </w:t>
            </w:r>
            <w:r w:rsidR="00A8296B" w:rsidRPr="00AE3F5D">
              <w:rPr>
                <w:color w:val="000000"/>
                <w:lang w:val="uk-UA"/>
              </w:rPr>
              <w:t>за енергоносії та інші комунальні послуги,</w:t>
            </w:r>
            <w:r w:rsidR="00A8296B">
              <w:rPr>
                <w:color w:val="000000"/>
                <w:lang w:val="uk-UA"/>
              </w:rPr>
              <w:t xml:space="preserve"> оплата інших послуг (крім комунальних),</w:t>
            </w:r>
            <w:r w:rsidR="00EA67FE">
              <w:rPr>
                <w:color w:val="000000"/>
                <w:lang w:val="uk-UA"/>
              </w:rPr>
              <w:t xml:space="preserve">  </w:t>
            </w:r>
            <w:r w:rsidR="00A8296B" w:rsidRPr="007E7111">
              <w:rPr>
                <w:bCs/>
                <w:iCs/>
                <w:color w:val="000000"/>
                <w:lang w:val="uk-UA"/>
              </w:rPr>
              <w:t>зміцнення матеріально-технічної бази</w:t>
            </w:r>
            <w:r w:rsidR="00A8296B" w:rsidRPr="007E7111">
              <w:rPr>
                <w:color w:val="000000"/>
                <w:lang w:val="uk-UA"/>
              </w:rPr>
              <w:t>,</w:t>
            </w:r>
            <w:r w:rsidR="00A8296B" w:rsidRPr="00AE3F5D">
              <w:rPr>
                <w:color w:val="000000"/>
                <w:lang w:val="uk-UA"/>
              </w:rPr>
              <w:t>погашення заборгованості</w:t>
            </w:r>
            <w:r w:rsidR="00A8296B" w:rsidRPr="00AE3F5D">
              <w:rPr>
                <w:lang w:val="uk-UA"/>
              </w:rPr>
              <w:t xml:space="preserve"> тощо)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AE3F5D" w:rsidRDefault="00A8296B" w:rsidP="00EA67FE">
            <w:pPr>
              <w:rPr>
                <w:color w:val="000000"/>
                <w:lang w:val="uk-UA"/>
              </w:rPr>
            </w:pPr>
            <w:r w:rsidRPr="00AE3F5D">
              <w:rPr>
                <w:color w:val="000000"/>
                <w:lang w:val="uk-UA"/>
              </w:rPr>
              <w:lastRenderedPageBreak/>
              <w:t>20</w:t>
            </w:r>
            <w:r>
              <w:rPr>
                <w:color w:val="000000"/>
                <w:lang w:val="uk-UA"/>
              </w:rPr>
              <w:t>2</w:t>
            </w:r>
            <w:r w:rsidR="00365F38">
              <w:rPr>
                <w:color w:val="000000"/>
                <w:lang w:val="uk-UA"/>
              </w:rPr>
              <w:t>2</w:t>
            </w:r>
            <w:r>
              <w:rPr>
                <w:color w:val="000000"/>
                <w:lang w:val="uk-UA"/>
              </w:rPr>
              <w:t>-202</w:t>
            </w:r>
            <w:r w:rsidR="00365F38">
              <w:rPr>
                <w:color w:val="000000"/>
                <w:lang w:val="uk-UA"/>
              </w:rPr>
              <w:t>3</w:t>
            </w:r>
            <w:r w:rsidRPr="00AE3F5D">
              <w:rPr>
                <w:color w:val="000000"/>
                <w:lang w:val="uk-UA"/>
              </w:rPr>
              <w:t>роки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AE3F5D" w:rsidRDefault="00365F38" w:rsidP="00EA67FE">
            <w:pPr>
              <w:jc w:val="both"/>
              <w:rPr>
                <w:color w:val="000000"/>
                <w:lang w:val="uk-UA"/>
              </w:rPr>
            </w:pPr>
            <w:r w:rsidRPr="00365F38">
              <w:rPr>
                <w:color w:val="000000"/>
                <w:lang w:val="uk-UA"/>
              </w:rPr>
              <w:t>Сарненська районна державна адміністрація, структурні підрозділи райдержадміністраці</w:t>
            </w:r>
            <w:r w:rsidR="00EA67FE">
              <w:rPr>
                <w:color w:val="000000"/>
                <w:lang w:val="uk-UA"/>
              </w:rPr>
              <w:t xml:space="preserve">ї </w:t>
            </w:r>
            <w:r w:rsidR="00107AB7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AE3F5D" w:rsidRDefault="00107AB7" w:rsidP="00365F38">
            <w:pPr>
              <w:jc w:val="center"/>
              <w:rPr>
                <w:color w:val="000000"/>
                <w:sz w:val="23"/>
                <w:szCs w:val="23"/>
                <w:lang w:val="uk-UA"/>
              </w:rPr>
            </w:pPr>
            <w:r>
              <w:rPr>
                <w:color w:val="000000"/>
                <w:sz w:val="23"/>
                <w:szCs w:val="23"/>
                <w:lang w:val="uk-UA"/>
              </w:rPr>
              <w:t>Бюджети територіальних громад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EA67FE" w:rsidRDefault="0065176E" w:rsidP="00365F38">
            <w:pPr>
              <w:rPr>
                <w:lang w:val="uk-UA"/>
              </w:rPr>
            </w:pPr>
            <w:r w:rsidRPr="00EA67FE">
              <w:rPr>
                <w:lang w:val="uk-UA"/>
              </w:rPr>
              <w:t>9600</w:t>
            </w:r>
            <w:r w:rsidR="003E09A4" w:rsidRPr="00EA67FE">
              <w:rPr>
                <w:lang w:val="uk-UA"/>
              </w:rPr>
              <w:t>,</w:t>
            </w:r>
            <w:r w:rsidRPr="00EA67FE">
              <w:rPr>
                <w:lang w:val="uk-UA"/>
              </w:rPr>
              <w:t>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EA67FE" w:rsidRDefault="0065176E" w:rsidP="00B939C6">
            <w:pPr>
              <w:jc w:val="center"/>
              <w:rPr>
                <w:lang w:val="uk-UA"/>
              </w:rPr>
            </w:pPr>
            <w:r w:rsidRPr="00EA67FE">
              <w:rPr>
                <w:lang w:val="uk-UA"/>
              </w:rPr>
              <w:t>4800</w:t>
            </w:r>
            <w:r w:rsidR="003E09A4" w:rsidRPr="00EA67FE">
              <w:rPr>
                <w:lang w:val="uk-UA"/>
              </w:rPr>
              <w:t xml:space="preserve">, </w:t>
            </w:r>
            <w:r w:rsidRPr="00EA67FE">
              <w:rPr>
                <w:lang w:val="uk-UA"/>
              </w:rPr>
              <w:t>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EA67FE" w:rsidRDefault="0065176E" w:rsidP="00365F38">
            <w:pPr>
              <w:rPr>
                <w:bCs/>
                <w:iCs/>
                <w:lang w:val="uk-UA"/>
              </w:rPr>
            </w:pPr>
            <w:r w:rsidRPr="00EA67FE">
              <w:rPr>
                <w:bCs/>
                <w:iCs/>
                <w:lang w:val="uk-UA"/>
              </w:rPr>
              <w:t>4800</w:t>
            </w:r>
            <w:r w:rsidR="001E0779" w:rsidRPr="00EA67FE">
              <w:rPr>
                <w:bCs/>
                <w:iCs/>
                <w:lang w:val="uk-UA"/>
              </w:rPr>
              <w:t>,00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AE3F5D" w:rsidRDefault="00A8296B" w:rsidP="007145EF">
            <w:pPr>
              <w:jc w:val="both"/>
              <w:rPr>
                <w:sz w:val="23"/>
                <w:szCs w:val="23"/>
                <w:lang w:val="uk-UA"/>
              </w:rPr>
            </w:pPr>
            <w:r w:rsidRPr="00AE3F5D">
              <w:rPr>
                <w:lang w:val="uk-UA"/>
              </w:rPr>
              <w:t>Забезпечення можливості виконувати ефективно та належним чином функції</w:t>
            </w:r>
            <w:r>
              <w:rPr>
                <w:lang w:val="uk-UA"/>
              </w:rPr>
              <w:t>,</w:t>
            </w:r>
            <w:r w:rsidRPr="00AE3F5D">
              <w:rPr>
                <w:lang w:val="uk-UA"/>
              </w:rPr>
              <w:t xml:space="preserve"> покладені на місцеві державні адміністрації; по</w:t>
            </w:r>
            <w:r>
              <w:rPr>
                <w:lang w:val="uk-UA"/>
              </w:rPr>
              <w:t>ліпш</w:t>
            </w:r>
            <w:r w:rsidRPr="00AE3F5D">
              <w:rPr>
                <w:lang w:val="uk-UA"/>
              </w:rPr>
              <w:t xml:space="preserve">ення та </w:t>
            </w:r>
            <w:r w:rsidRPr="00AE3F5D">
              <w:rPr>
                <w:color w:val="000000"/>
                <w:lang w:val="uk-UA"/>
              </w:rPr>
              <w:t xml:space="preserve">оновлення комп’ютерної </w:t>
            </w:r>
            <w:r>
              <w:rPr>
                <w:color w:val="000000"/>
                <w:lang w:val="uk-UA"/>
              </w:rPr>
              <w:t xml:space="preserve">й </w:t>
            </w:r>
            <w:r w:rsidRPr="00AE3F5D">
              <w:rPr>
                <w:color w:val="000000"/>
                <w:lang w:val="uk-UA"/>
              </w:rPr>
              <w:t>іншої техніки,</w:t>
            </w:r>
            <w:r w:rsidRPr="00AE3F5D">
              <w:rPr>
                <w:lang w:val="uk-UA"/>
              </w:rPr>
              <w:t xml:space="preserve"> матеріально-технічної і фінансової бази,</w:t>
            </w:r>
            <w:r w:rsidRPr="00AE3F5D">
              <w:rPr>
                <w:color w:val="000000"/>
                <w:lang w:val="uk-UA"/>
              </w:rPr>
              <w:t xml:space="preserve"> що активізує участь громадськості, органів місцевого самоврядування, працівників бюджетних установ у формуванні та реалізації державної регіональної політики </w:t>
            </w:r>
            <w:r w:rsidRPr="00AE3F5D">
              <w:rPr>
                <w:lang w:val="uk-UA"/>
              </w:rPr>
              <w:t xml:space="preserve">та </w:t>
            </w:r>
            <w:r w:rsidRPr="00AE3F5D">
              <w:rPr>
                <w:lang w:val="uk-UA"/>
              </w:rPr>
              <w:lastRenderedPageBreak/>
              <w:t xml:space="preserve">надасть можливість </w:t>
            </w:r>
            <w:r w:rsidRPr="00AE3F5D">
              <w:rPr>
                <w:sz w:val="23"/>
                <w:szCs w:val="23"/>
                <w:lang w:val="uk-UA"/>
              </w:rPr>
              <w:t xml:space="preserve">врахувати думку громадськості у вирішенні завдань </w:t>
            </w:r>
            <w:r>
              <w:rPr>
                <w:sz w:val="23"/>
                <w:szCs w:val="23"/>
                <w:lang w:val="uk-UA"/>
              </w:rPr>
              <w:t>і</w:t>
            </w:r>
            <w:r w:rsidRPr="00AE3F5D">
              <w:rPr>
                <w:sz w:val="23"/>
                <w:szCs w:val="23"/>
                <w:lang w:val="uk-UA"/>
              </w:rPr>
              <w:t xml:space="preserve">з </w:t>
            </w:r>
            <w:r>
              <w:rPr>
                <w:sz w:val="23"/>
                <w:szCs w:val="23"/>
                <w:lang w:val="uk-UA"/>
              </w:rPr>
              <w:t>у</w:t>
            </w:r>
            <w:r w:rsidRPr="00AE3F5D">
              <w:rPr>
                <w:sz w:val="23"/>
                <w:szCs w:val="23"/>
                <w:lang w:val="uk-UA"/>
              </w:rPr>
              <w:t>провадження реформ та соціально-економічного і культурного розвитку територій</w:t>
            </w:r>
          </w:p>
          <w:p w:rsidR="00A8296B" w:rsidRPr="00AE3F5D" w:rsidRDefault="00A8296B" w:rsidP="00B939C6">
            <w:pPr>
              <w:jc w:val="center"/>
              <w:rPr>
                <w:lang w:val="uk-UA"/>
              </w:rPr>
            </w:pPr>
          </w:p>
        </w:tc>
      </w:tr>
      <w:tr w:rsidR="00A8296B" w:rsidRPr="00914BE7">
        <w:trPr>
          <w:trHeight w:val="74"/>
        </w:trPr>
        <w:tc>
          <w:tcPr>
            <w:tcW w:w="8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914BE7" w:rsidRDefault="00A8296B" w:rsidP="00B939C6">
            <w:pPr>
              <w:rPr>
                <w:b/>
                <w:color w:val="000000"/>
                <w:lang w:val="uk-UA"/>
              </w:rPr>
            </w:pPr>
            <w:r w:rsidRPr="00914BE7">
              <w:rPr>
                <w:b/>
                <w:color w:val="000000"/>
                <w:lang w:val="uk-UA"/>
              </w:rPr>
              <w:lastRenderedPageBreak/>
              <w:t>РАЗОМ: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914BE7" w:rsidRDefault="00A8296B" w:rsidP="00B939C6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914BE7" w:rsidRDefault="0065176E" w:rsidP="00B939C6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10</w:t>
            </w:r>
            <w:r w:rsidR="00B26A4A">
              <w:rPr>
                <w:b/>
                <w:color w:val="000000"/>
                <w:lang w:val="uk-UA"/>
              </w:rPr>
              <w:t> </w:t>
            </w:r>
            <w:r>
              <w:rPr>
                <w:b/>
                <w:color w:val="000000"/>
                <w:lang w:val="uk-UA"/>
              </w:rPr>
              <w:t>000</w:t>
            </w:r>
            <w:r w:rsidR="00B26A4A">
              <w:rPr>
                <w:b/>
                <w:color w:val="000000"/>
                <w:lang w:val="uk-UA"/>
              </w:rPr>
              <w:t>,</w:t>
            </w:r>
            <w:r>
              <w:rPr>
                <w:b/>
                <w:color w:val="000000"/>
                <w:lang w:val="uk-UA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914BE7" w:rsidRDefault="0065176E" w:rsidP="00B939C6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5000</w:t>
            </w:r>
            <w:r w:rsidR="00B26A4A">
              <w:rPr>
                <w:b/>
                <w:color w:val="000000"/>
                <w:lang w:val="uk-UA"/>
              </w:rPr>
              <w:t>,</w:t>
            </w:r>
            <w:r>
              <w:rPr>
                <w:b/>
                <w:color w:val="000000"/>
                <w:lang w:val="uk-UA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914BE7" w:rsidRDefault="0065176E" w:rsidP="00B26A4A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5000</w:t>
            </w:r>
            <w:r w:rsidR="00B26A4A">
              <w:rPr>
                <w:b/>
                <w:color w:val="000000"/>
                <w:lang w:val="uk-UA"/>
              </w:rPr>
              <w:t xml:space="preserve">, </w:t>
            </w:r>
            <w:r w:rsidR="001E0779">
              <w:rPr>
                <w:b/>
                <w:color w:val="000000"/>
                <w:lang w:val="uk-UA"/>
              </w:rPr>
              <w:t>0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6B" w:rsidRPr="00914BE7" w:rsidRDefault="00A8296B" w:rsidP="00B939C6">
            <w:pPr>
              <w:rPr>
                <w:b/>
                <w:color w:val="000000"/>
                <w:lang w:val="uk-UA"/>
              </w:rPr>
            </w:pPr>
          </w:p>
        </w:tc>
      </w:tr>
    </w:tbl>
    <w:p w:rsidR="00A8296B" w:rsidRDefault="00A8296B" w:rsidP="00E713BA">
      <w:pPr>
        <w:pStyle w:val="1"/>
        <w:shd w:val="clear" w:color="auto" w:fill="auto"/>
        <w:spacing w:before="0" w:after="0"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AA4E30" w:rsidRDefault="00AA4E30" w:rsidP="00E713BA">
      <w:pPr>
        <w:pStyle w:val="1"/>
        <w:shd w:val="clear" w:color="auto" w:fill="auto"/>
        <w:spacing w:before="0" w:after="0"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AA4E30" w:rsidRDefault="00AA4E30" w:rsidP="00E713BA">
      <w:pPr>
        <w:pStyle w:val="1"/>
        <w:shd w:val="clear" w:color="auto" w:fill="auto"/>
        <w:spacing w:before="0" w:after="0"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A8296B" w:rsidRPr="00E713BA" w:rsidRDefault="00A8296B"/>
    <w:sectPr w:rsidR="00A8296B" w:rsidRPr="00E713BA" w:rsidSect="00CF5FE6">
      <w:pgSz w:w="16838" w:h="11906" w:orient="landscape"/>
      <w:pgMar w:top="360" w:right="357" w:bottom="540" w:left="72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45ED" w:rsidRDefault="000045ED">
      <w:r>
        <w:separator/>
      </w:r>
    </w:p>
  </w:endnote>
  <w:endnote w:type="continuationSeparator" w:id="1">
    <w:p w:rsidR="000045ED" w:rsidRDefault="000045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45ED" w:rsidRDefault="000045ED">
      <w:r>
        <w:separator/>
      </w:r>
    </w:p>
  </w:footnote>
  <w:footnote w:type="continuationSeparator" w:id="1">
    <w:p w:rsidR="000045ED" w:rsidRDefault="000045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FE796E"/>
    <w:rsid w:val="000045ED"/>
    <w:rsid w:val="00033E92"/>
    <w:rsid w:val="00082B2B"/>
    <w:rsid w:val="000E2E6A"/>
    <w:rsid w:val="001035F6"/>
    <w:rsid w:val="00107AB7"/>
    <w:rsid w:val="0014411E"/>
    <w:rsid w:val="00146160"/>
    <w:rsid w:val="00183614"/>
    <w:rsid w:val="001E0779"/>
    <w:rsid w:val="001F2D2B"/>
    <w:rsid w:val="00202130"/>
    <w:rsid w:val="00224A70"/>
    <w:rsid w:val="00232E21"/>
    <w:rsid w:val="00242CDD"/>
    <w:rsid w:val="00264069"/>
    <w:rsid w:val="0026728B"/>
    <w:rsid w:val="00267CF7"/>
    <w:rsid w:val="002D532D"/>
    <w:rsid w:val="00311E31"/>
    <w:rsid w:val="00363898"/>
    <w:rsid w:val="00365F38"/>
    <w:rsid w:val="00377955"/>
    <w:rsid w:val="003D7B2C"/>
    <w:rsid w:val="003E09A4"/>
    <w:rsid w:val="003E781E"/>
    <w:rsid w:val="004178B5"/>
    <w:rsid w:val="00501EA7"/>
    <w:rsid w:val="00514B16"/>
    <w:rsid w:val="0055009A"/>
    <w:rsid w:val="0055738A"/>
    <w:rsid w:val="0057127F"/>
    <w:rsid w:val="0065176E"/>
    <w:rsid w:val="00682115"/>
    <w:rsid w:val="00696A77"/>
    <w:rsid w:val="006B6AA0"/>
    <w:rsid w:val="006C2D99"/>
    <w:rsid w:val="006E374E"/>
    <w:rsid w:val="006E3F1E"/>
    <w:rsid w:val="007145EF"/>
    <w:rsid w:val="007240A3"/>
    <w:rsid w:val="0074213B"/>
    <w:rsid w:val="007A4115"/>
    <w:rsid w:val="007A456D"/>
    <w:rsid w:val="007B4772"/>
    <w:rsid w:val="007E7111"/>
    <w:rsid w:val="00891677"/>
    <w:rsid w:val="00914BE7"/>
    <w:rsid w:val="00935296"/>
    <w:rsid w:val="00963481"/>
    <w:rsid w:val="009652F0"/>
    <w:rsid w:val="00965B63"/>
    <w:rsid w:val="00984FD8"/>
    <w:rsid w:val="009B2020"/>
    <w:rsid w:val="009B6A2A"/>
    <w:rsid w:val="009D189B"/>
    <w:rsid w:val="00A23508"/>
    <w:rsid w:val="00A42133"/>
    <w:rsid w:val="00A709A1"/>
    <w:rsid w:val="00A8296B"/>
    <w:rsid w:val="00AA4E30"/>
    <w:rsid w:val="00AB699B"/>
    <w:rsid w:val="00AE3F5D"/>
    <w:rsid w:val="00B26A4A"/>
    <w:rsid w:val="00B939C6"/>
    <w:rsid w:val="00BD1D8D"/>
    <w:rsid w:val="00C0297F"/>
    <w:rsid w:val="00C32CA9"/>
    <w:rsid w:val="00C35EBF"/>
    <w:rsid w:val="00C831B2"/>
    <w:rsid w:val="00C85A38"/>
    <w:rsid w:val="00C86D1E"/>
    <w:rsid w:val="00CB374D"/>
    <w:rsid w:val="00CF5FE6"/>
    <w:rsid w:val="00D1220F"/>
    <w:rsid w:val="00D32F7A"/>
    <w:rsid w:val="00D677AB"/>
    <w:rsid w:val="00D75B92"/>
    <w:rsid w:val="00E713BA"/>
    <w:rsid w:val="00E949C5"/>
    <w:rsid w:val="00EA67FE"/>
    <w:rsid w:val="00EC3CDE"/>
    <w:rsid w:val="00ED1F9E"/>
    <w:rsid w:val="00F10DE3"/>
    <w:rsid w:val="00F24B68"/>
    <w:rsid w:val="00F64C3A"/>
    <w:rsid w:val="00F842D1"/>
    <w:rsid w:val="00FA3DAF"/>
    <w:rsid w:val="00FA6416"/>
    <w:rsid w:val="00FD7859"/>
    <w:rsid w:val="00FE79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page number" w:unhideWhenUsed="0"/>
    <w:lsdException w:name="Title" w:semiHidden="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3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E713BA"/>
    <w:pPr>
      <w:keepNext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E713BA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header"/>
    <w:basedOn w:val="a"/>
    <w:link w:val="a4"/>
    <w:uiPriority w:val="99"/>
    <w:rsid w:val="00E713BA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E713BA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E713BA"/>
    <w:rPr>
      <w:rFonts w:cs="Times New Roman"/>
    </w:rPr>
  </w:style>
  <w:style w:type="paragraph" w:styleId="a6">
    <w:name w:val="Title"/>
    <w:basedOn w:val="a"/>
    <w:link w:val="a7"/>
    <w:uiPriority w:val="99"/>
    <w:qFormat/>
    <w:rsid w:val="00E713BA"/>
    <w:pPr>
      <w:jc w:val="center"/>
    </w:pPr>
    <w:rPr>
      <w:b/>
      <w:bCs/>
      <w:lang w:val="uk-UA"/>
    </w:rPr>
  </w:style>
  <w:style w:type="character" w:customStyle="1" w:styleId="a7">
    <w:name w:val="Название Знак"/>
    <w:basedOn w:val="a0"/>
    <w:link w:val="a6"/>
    <w:uiPriority w:val="99"/>
    <w:rsid w:val="00E713BA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styleId="a8">
    <w:name w:val="Strong"/>
    <w:basedOn w:val="a0"/>
    <w:uiPriority w:val="99"/>
    <w:qFormat/>
    <w:rsid w:val="00E713BA"/>
    <w:rPr>
      <w:rFonts w:cs="Times New Roman"/>
      <w:b/>
      <w:bCs/>
    </w:rPr>
  </w:style>
  <w:style w:type="character" w:customStyle="1" w:styleId="Bodytext">
    <w:name w:val="Body text_"/>
    <w:link w:val="1"/>
    <w:uiPriority w:val="99"/>
    <w:rsid w:val="00E713BA"/>
    <w:rPr>
      <w:sz w:val="26"/>
      <w:shd w:val="clear" w:color="auto" w:fill="FFFFFF"/>
    </w:rPr>
  </w:style>
  <w:style w:type="paragraph" w:customStyle="1" w:styleId="1">
    <w:name w:val="Основной текст1"/>
    <w:basedOn w:val="a"/>
    <w:link w:val="Bodytext"/>
    <w:uiPriority w:val="99"/>
    <w:rsid w:val="00E713BA"/>
    <w:pPr>
      <w:widowControl w:val="0"/>
      <w:shd w:val="clear" w:color="auto" w:fill="FFFFFF"/>
      <w:spacing w:before="240" w:after="240" w:line="322" w:lineRule="exact"/>
      <w:ind w:firstLine="700"/>
      <w:jc w:val="both"/>
    </w:pPr>
    <w:rPr>
      <w:rFonts w:ascii="Calibri" w:eastAsia="Calibri" w:hAnsi="Calibri"/>
      <w:sz w:val="26"/>
      <w:szCs w:val="20"/>
      <w:lang w:val="uk-UA" w:eastAsia="zh-CN"/>
    </w:rPr>
  </w:style>
  <w:style w:type="paragraph" w:styleId="a9">
    <w:name w:val="Balloon Text"/>
    <w:basedOn w:val="a"/>
    <w:link w:val="aa"/>
    <w:uiPriority w:val="99"/>
    <w:semiHidden/>
    <w:rsid w:val="001035F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035F6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786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юрист</cp:lastModifiedBy>
  <cp:revision>4</cp:revision>
  <cp:lastPrinted>2021-12-21T06:19:00Z</cp:lastPrinted>
  <dcterms:created xsi:type="dcterms:W3CDTF">2021-12-21T06:01:00Z</dcterms:created>
  <dcterms:modified xsi:type="dcterms:W3CDTF">2021-12-21T06:31:00Z</dcterms:modified>
</cp:coreProperties>
</file>